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Ind w:w="-176" w:type="dxa"/>
        <w:tblLayout w:type="fixed"/>
        <w:tblLook w:val="01E0" w:firstRow="1" w:lastRow="1" w:firstColumn="1" w:lastColumn="1" w:noHBand="0" w:noVBand="0"/>
      </w:tblPr>
      <w:tblGrid>
        <w:gridCol w:w="10267"/>
      </w:tblGrid>
      <w:tr w:rsidR="00D2402E" w:rsidRPr="00862949" w14:paraId="4C1837B8" w14:textId="77777777" w:rsidTr="009B0BCE">
        <w:trPr>
          <w:trHeight w:val="192"/>
        </w:trPr>
        <w:tc>
          <w:tcPr>
            <w:tcW w:w="5000" w:type="pct"/>
            <w:shd w:val="clear" w:color="auto" w:fill="auto"/>
            <w:tcMar>
              <w:top w:w="57" w:type="dxa"/>
              <w:bottom w:w="57" w:type="dxa"/>
            </w:tcMar>
          </w:tcPr>
          <w:p w14:paraId="4BE93161" w14:textId="77777777" w:rsidR="00D2402E" w:rsidRPr="00E369CC" w:rsidRDefault="00860B89" w:rsidP="00F81A28">
            <w:pPr>
              <w:jc w:val="right"/>
              <w:rPr>
                <w:rFonts w:cs="Arial"/>
                <w:b/>
                <w:bCs/>
                <w:iCs/>
                <w:color w:val="0070C0"/>
                <w:sz w:val="15"/>
                <w:szCs w:val="15"/>
                <w:lang w:val="en-US"/>
              </w:rPr>
            </w:pPr>
            <w:r>
              <w:rPr>
                <w:rFonts w:cs="Arial"/>
                <w:b/>
                <w:bCs/>
                <w:iCs/>
                <w:color w:val="333399"/>
                <w:sz w:val="15"/>
                <w:szCs w:val="15"/>
                <w:lang w:val="en-US"/>
              </w:rPr>
              <w:t xml:space="preserve">  </w:t>
            </w:r>
            <w:r w:rsidR="00A3053B">
              <w:rPr>
                <w:rFonts w:cs="Arial"/>
                <w:b/>
                <w:bCs/>
                <w:iCs/>
                <w:color w:val="333399"/>
                <w:sz w:val="15"/>
                <w:szCs w:val="15"/>
                <w:lang w:val="en-US"/>
              </w:rPr>
              <w:t xml:space="preserve"> </w:t>
            </w:r>
            <w:r w:rsidR="00AB34E3" w:rsidRPr="00862949">
              <w:rPr>
                <w:rFonts w:cs="Arial"/>
                <w:b/>
                <w:bCs/>
                <w:iCs/>
                <w:color w:val="333399"/>
                <w:sz w:val="15"/>
                <w:szCs w:val="15"/>
                <w:lang w:val="en-US"/>
              </w:rPr>
              <w:t xml:space="preserve"> </w:t>
            </w:r>
            <w:r w:rsidR="009C539A" w:rsidRPr="00862949">
              <w:rPr>
                <w:rFonts w:cs="Arial"/>
                <w:b/>
                <w:bCs/>
                <w:iCs/>
                <w:color w:val="333399"/>
                <w:sz w:val="15"/>
                <w:szCs w:val="15"/>
                <w:lang w:val="en-US"/>
              </w:rPr>
              <w:t xml:space="preserve"> </w:t>
            </w:r>
            <w:hyperlink r:id="rId8" w:tgtFrame="_blank" w:history="1">
              <w:r w:rsidR="00F81A28" w:rsidRPr="009B0BCE">
                <w:rPr>
                  <w:rStyle w:val="Hyperlink"/>
                  <w:rFonts w:ascii="Arial" w:hAnsi="Arial" w:cs="Arial"/>
                  <w:b/>
                  <w:bCs/>
                  <w:iCs/>
                  <w:color w:val="0070C0"/>
                  <w:sz w:val="20"/>
                  <w:szCs w:val="15"/>
                  <w:lang w:val="en-US"/>
                </w:rPr>
                <w:t>SPS</w:t>
              </w:r>
              <w:r w:rsidR="00D2402E" w:rsidRPr="009B0BCE">
                <w:rPr>
                  <w:rStyle w:val="Hyperlink"/>
                  <w:rFonts w:ascii="Arial" w:hAnsi="Arial" w:cs="Arial"/>
                  <w:b/>
                  <w:bCs/>
                  <w:iCs/>
                  <w:color w:val="0070C0"/>
                  <w:sz w:val="20"/>
                  <w:szCs w:val="15"/>
                  <w:lang w:val="en-US"/>
                </w:rPr>
                <w:t xml:space="preserve"> home</w:t>
              </w:r>
            </w:hyperlink>
            <w:r w:rsidR="00D2402E" w:rsidRPr="009B0BCE">
              <w:rPr>
                <w:rFonts w:cs="Arial"/>
                <w:b/>
                <w:bCs/>
                <w:iCs/>
                <w:color w:val="0070C0"/>
                <w:sz w:val="20"/>
                <w:szCs w:val="15"/>
                <w:lang w:val="en-US"/>
              </w:rPr>
              <w:t xml:space="preserve"> | </w:t>
            </w:r>
            <w:hyperlink r:id="rId9" w:history="1">
              <w:r w:rsidR="00D2402E" w:rsidRPr="009B0BCE">
                <w:rPr>
                  <w:rStyle w:val="Hyperlink"/>
                  <w:rFonts w:ascii="Arial" w:hAnsi="Arial" w:cs="Arial"/>
                  <w:b/>
                  <w:bCs/>
                  <w:iCs/>
                  <w:color w:val="0070C0"/>
                  <w:sz w:val="20"/>
                  <w:szCs w:val="15"/>
                  <w:lang w:val="en-US"/>
                </w:rPr>
                <w:t>Contact</w:t>
              </w:r>
            </w:hyperlink>
          </w:p>
        </w:tc>
      </w:tr>
    </w:tbl>
    <w:p w14:paraId="581E73BF" w14:textId="77777777" w:rsidR="00B85859" w:rsidRDefault="00B85859" w:rsidP="00727945">
      <w:pPr>
        <w:rPr>
          <w:rFonts w:ascii="Latha" w:hAnsi="Latha" w:cs="Latha"/>
          <w:sz w:val="8"/>
          <w:szCs w:val="8"/>
        </w:rPr>
      </w:pPr>
    </w:p>
    <w:tbl>
      <w:tblPr>
        <w:tblW w:w="5170" w:type="pct"/>
        <w:tblInd w:w="-176" w:type="dxa"/>
        <w:tblLayout w:type="fixed"/>
        <w:tblLook w:val="01E0" w:firstRow="1" w:lastRow="1" w:firstColumn="1" w:lastColumn="1" w:noHBand="0" w:noVBand="0"/>
      </w:tblPr>
      <w:tblGrid>
        <w:gridCol w:w="3294"/>
        <w:gridCol w:w="7257"/>
      </w:tblGrid>
      <w:tr w:rsidR="0020101A" w:rsidRPr="00862949" w14:paraId="1919C0AD" w14:textId="77777777" w:rsidTr="002772ED">
        <w:tc>
          <w:tcPr>
            <w:tcW w:w="5000" w:type="pct"/>
            <w:gridSpan w:val="2"/>
            <w:shd w:val="clear" w:color="auto" w:fill="0070C0"/>
            <w:tcMar>
              <w:top w:w="85" w:type="dxa"/>
              <w:bottom w:w="85" w:type="dxa"/>
            </w:tcMar>
            <w:vAlign w:val="bottom"/>
          </w:tcPr>
          <w:p w14:paraId="234B416D" w14:textId="77777777" w:rsidR="0020101A" w:rsidRPr="00862949" w:rsidRDefault="0020101A" w:rsidP="00720F9E">
            <w:pPr>
              <w:rPr>
                <w:rFonts w:cs="Arial"/>
                <w:color w:val="FFFFFF"/>
                <w:sz w:val="15"/>
                <w:szCs w:val="15"/>
              </w:rPr>
            </w:pPr>
            <w:bookmarkStart w:id="0" w:name="_Hlk180821699"/>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20101A" w:rsidRPr="00862949" w14:paraId="2D65CFFB" w14:textId="77777777" w:rsidTr="002772ED">
        <w:tc>
          <w:tcPr>
            <w:tcW w:w="5000" w:type="pct"/>
            <w:gridSpan w:val="2"/>
            <w:shd w:val="clear" w:color="auto" w:fill="DAEEF3"/>
            <w:tcMar>
              <w:top w:w="0" w:type="dxa"/>
              <w:bottom w:w="0" w:type="dxa"/>
            </w:tcMar>
          </w:tcPr>
          <w:p w14:paraId="0C016AAB" w14:textId="77777777" w:rsidR="0020101A" w:rsidRPr="00862949" w:rsidRDefault="0020101A" w:rsidP="00720F9E">
            <w:pPr>
              <w:rPr>
                <w:rFonts w:cs="Arial"/>
                <w:b/>
                <w:bCs/>
                <w:i/>
                <w:iCs/>
                <w:color w:val="000000"/>
                <w:sz w:val="8"/>
                <w:szCs w:val="8"/>
                <w:lang w:val="en-US"/>
              </w:rPr>
            </w:pPr>
          </w:p>
        </w:tc>
      </w:tr>
      <w:tr w:rsidR="0020101A" w:rsidRPr="00862949" w14:paraId="35013134" w14:textId="77777777" w:rsidTr="002772ED">
        <w:tc>
          <w:tcPr>
            <w:tcW w:w="5000" w:type="pct"/>
            <w:gridSpan w:val="2"/>
            <w:shd w:val="clear" w:color="auto" w:fill="00B050"/>
            <w:tcMar>
              <w:top w:w="57" w:type="dxa"/>
              <w:bottom w:w="57" w:type="dxa"/>
            </w:tcMar>
          </w:tcPr>
          <w:p w14:paraId="35E889F4" w14:textId="77777777" w:rsidR="0020101A" w:rsidRPr="00433D3E" w:rsidRDefault="0020101A" w:rsidP="00720F9E">
            <w:pPr>
              <w:rPr>
                <w:rFonts w:cs="Arial"/>
                <w:color w:val="FFFFFF"/>
                <w:sz w:val="20"/>
                <w:szCs w:val="20"/>
              </w:rPr>
            </w:pPr>
            <w:r w:rsidRPr="00433D3E">
              <w:rPr>
                <w:rFonts w:cs="Arial"/>
                <w:b/>
                <w:bCs/>
                <w:i/>
                <w:iCs/>
                <w:color w:val="FFFFFF"/>
                <w:sz w:val="22"/>
                <w:szCs w:val="20"/>
                <w:lang w:val="en-US"/>
              </w:rPr>
              <w:t>Launched in the UK (or licence change for existing products)</w:t>
            </w:r>
          </w:p>
        </w:tc>
      </w:tr>
      <w:tr w:rsidR="00232960" w:rsidRPr="00131D4C" w14:paraId="215BE2E6" w14:textId="77777777" w:rsidTr="00645D22">
        <w:tc>
          <w:tcPr>
            <w:tcW w:w="1561" w:type="pct"/>
            <w:shd w:val="clear" w:color="auto" w:fill="auto"/>
            <w:tcMar>
              <w:top w:w="57" w:type="dxa"/>
              <w:left w:w="170" w:type="dxa"/>
              <w:bottom w:w="57" w:type="dxa"/>
              <w:right w:w="170" w:type="dxa"/>
            </w:tcMar>
          </w:tcPr>
          <w:p w14:paraId="042AB1AB" w14:textId="77777777" w:rsidR="00232960" w:rsidRDefault="00232960" w:rsidP="00232960">
            <w:pPr>
              <w:rPr>
                <w:rFonts w:cs="Arial"/>
                <w:szCs w:val="19"/>
              </w:rPr>
            </w:pPr>
            <w:r>
              <w:rPr>
                <w:rFonts w:cs="Arial"/>
                <w:szCs w:val="19"/>
              </w:rPr>
              <w:t xml:space="preserve">Adalimumab biosimilar </w:t>
            </w:r>
          </w:p>
          <w:p w14:paraId="291A718D" w14:textId="05B176E4" w:rsidR="00232960" w:rsidRDefault="00232960" w:rsidP="00232960">
            <w:pPr>
              <w:rPr>
                <w:rFonts w:cs="Arial"/>
                <w:szCs w:val="19"/>
              </w:rPr>
            </w:pPr>
            <w:r>
              <w:rPr>
                <w:rFonts w:cs="Arial"/>
                <w:szCs w:val="19"/>
              </w:rPr>
              <w:t>(</w:t>
            </w:r>
            <w:r>
              <w:rPr>
                <w:rFonts w:cs="Arial"/>
                <w:i/>
                <w:iCs/>
                <w:szCs w:val="19"/>
              </w:rPr>
              <w:t>Amgevita HCF</w:t>
            </w:r>
            <w:r>
              <w:rPr>
                <w:rFonts w:cs="Arial"/>
                <w:szCs w:val="19"/>
              </w:rPr>
              <w:t xml:space="preserve">) </w:t>
            </w:r>
          </w:p>
          <w:p w14:paraId="56288959" w14:textId="2994CB02" w:rsidR="00232960" w:rsidRPr="00C81158" w:rsidRDefault="00232960" w:rsidP="00232960">
            <w:pPr>
              <w:rPr>
                <w:rFonts w:cs="Arial"/>
                <w:szCs w:val="19"/>
              </w:rPr>
            </w:pPr>
            <w:r w:rsidRPr="00804389">
              <w:rPr>
                <w:rFonts w:cs="Arial"/>
                <w:sz w:val="16"/>
                <w:szCs w:val="16"/>
              </w:rPr>
              <w:t>20mg in 0.2mL prefilled syringe, and 40mg in 0.4mL and 80mg in 0.8mL prefilled pen</w:t>
            </w:r>
            <w:r w:rsidR="009F6618">
              <w:rPr>
                <w:rFonts w:cs="Arial"/>
                <w:sz w:val="16"/>
                <w:szCs w:val="16"/>
              </w:rPr>
              <w:t>s</w:t>
            </w:r>
            <w:r w:rsidRPr="00804389">
              <w:rPr>
                <w:rFonts w:cs="Arial"/>
                <w:sz w:val="16"/>
                <w:szCs w:val="16"/>
              </w:rPr>
              <w:t xml:space="preserve"> and syringe</w:t>
            </w:r>
            <w:r w:rsidR="009F6618">
              <w:rPr>
                <w:rFonts w:cs="Arial"/>
                <w:sz w:val="16"/>
                <w:szCs w:val="16"/>
              </w:rPr>
              <w:t>s</w:t>
            </w:r>
          </w:p>
        </w:tc>
        <w:tc>
          <w:tcPr>
            <w:tcW w:w="3439" w:type="pct"/>
            <w:shd w:val="clear" w:color="auto" w:fill="auto"/>
            <w:tcMar>
              <w:top w:w="57" w:type="dxa"/>
              <w:left w:w="170" w:type="dxa"/>
              <w:bottom w:w="57" w:type="dxa"/>
              <w:right w:w="170" w:type="dxa"/>
            </w:tcMar>
          </w:tcPr>
          <w:p w14:paraId="6C29F9AA" w14:textId="0F5EB8CA" w:rsidR="00232960" w:rsidRPr="00C81158" w:rsidRDefault="00232960" w:rsidP="00232960">
            <w:pPr>
              <w:tabs>
                <w:tab w:val="center" w:pos="3152"/>
              </w:tabs>
              <w:rPr>
                <w:rFonts w:cs="Arial"/>
                <w:szCs w:val="19"/>
                <w:lang w:val="en-US"/>
              </w:rPr>
            </w:pPr>
            <w:r w:rsidRPr="00804389">
              <w:rPr>
                <w:rFonts w:cs="Arial"/>
                <w:szCs w:val="19"/>
                <w:lang w:val="en-US"/>
              </w:rPr>
              <w:t xml:space="preserve">Treatment of rheumatoid arthritis in adults, juvenile idiopathic arthritis in patients aged </w:t>
            </w:r>
            <w:r>
              <w:rPr>
                <w:rFonts w:cs="Arial"/>
                <w:szCs w:val="19"/>
                <w:lang w:val="en-US"/>
              </w:rPr>
              <w:t>≥</w:t>
            </w:r>
            <w:r w:rsidRPr="00804389">
              <w:rPr>
                <w:rFonts w:cs="Arial"/>
                <w:szCs w:val="19"/>
                <w:lang w:val="en-US"/>
              </w:rPr>
              <w:t xml:space="preserve">2 years, psoriatic arthritis in adults, axial </w:t>
            </w:r>
            <w:proofErr w:type="spellStart"/>
            <w:r w:rsidRPr="00804389">
              <w:rPr>
                <w:rFonts w:cs="Arial"/>
                <w:szCs w:val="19"/>
                <w:lang w:val="en-US"/>
              </w:rPr>
              <w:t>spondyloarthritis</w:t>
            </w:r>
            <w:proofErr w:type="spellEnd"/>
            <w:r w:rsidRPr="00804389">
              <w:rPr>
                <w:rFonts w:cs="Arial"/>
                <w:szCs w:val="19"/>
                <w:lang w:val="en-US"/>
              </w:rPr>
              <w:t xml:space="preserve"> in adults, Crohn’s disease in adults and </w:t>
            </w:r>
            <w:r w:rsidR="00BF1805">
              <w:rPr>
                <w:rFonts w:cs="Arial"/>
                <w:szCs w:val="19"/>
                <w:lang w:val="en-US"/>
              </w:rPr>
              <w:t>childre</w:t>
            </w:r>
            <w:r w:rsidRPr="00804389">
              <w:rPr>
                <w:rFonts w:cs="Arial"/>
                <w:szCs w:val="19"/>
                <w:lang w:val="en-US"/>
              </w:rPr>
              <w:t xml:space="preserve">n aged </w:t>
            </w:r>
            <w:r>
              <w:rPr>
                <w:rFonts w:cs="Arial"/>
                <w:szCs w:val="19"/>
                <w:lang w:val="en-US"/>
              </w:rPr>
              <w:t>≥</w:t>
            </w:r>
            <w:r w:rsidRPr="00804389">
              <w:rPr>
                <w:rFonts w:cs="Arial"/>
                <w:szCs w:val="19"/>
                <w:lang w:val="en-US"/>
              </w:rPr>
              <w:t xml:space="preserve">6 years, ulcerative colitis in adults and children aged </w:t>
            </w:r>
            <w:r>
              <w:rPr>
                <w:rFonts w:cs="Arial"/>
                <w:szCs w:val="19"/>
                <w:lang w:val="en-US"/>
              </w:rPr>
              <w:t>≥</w:t>
            </w:r>
            <w:r w:rsidRPr="00804389">
              <w:rPr>
                <w:rFonts w:cs="Arial"/>
                <w:szCs w:val="19"/>
                <w:lang w:val="en-US"/>
              </w:rPr>
              <w:t xml:space="preserve">6 years, plaque psoriasis in adults and children aged </w:t>
            </w:r>
            <w:r>
              <w:rPr>
                <w:rFonts w:cs="Arial"/>
                <w:szCs w:val="19"/>
                <w:lang w:val="en-US"/>
              </w:rPr>
              <w:t>≥</w:t>
            </w:r>
            <w:r w:rsidRPr="00804389">
              <w:rPr>
                <w:rFonts w:cs="Arial"/>
                <w:szCs w:val="19"/>
                <w:lang w:val="en-US"/>
              </w:rPr>
              <w:t>4 years, hidradenitis suppurativa in adults and adolescents</w:t>
            </w:r>
            <w:r w:rsidR="00886D4E">
              <w:rPr>
                <w:rFonts w:cs="Arial"/>
                <w:szCs w:val="19"/>
                <w:lang w:val="en-US"/>
              </w:rPr>
              <w:t xml:space="preserve"> aged ≥12 years</w:t>
            </w:r>
            <w:r w:rsidRPr="00804389">
              <w:rPr>
                <w:rFonts w:cs="Arial"/>
                <w:szCs w:val="19"/>
                <w:lang w:val="en-US"/>
              </w:rPr>
              <w:t xml:space="preserve">, and uveitis in adults and children aged </w:t>
            </w:r>
            <w:r>
              <w:rPr>
                <w:rFonts w:cs="Arial"/>
                <w:szCs w:val="19"/>
                <w:lang w:val="en-US"/>
              </w:rPr>
              <w:t>≥</w:t>
            </w:r>
            <w:r w:rsidRPr="00804389">
              <w:rPr>
                <w:rFonts w:cs="Arial"/>
                <w:szCs w:val="19"/>
                <w:lang w:val="en-US"/>
              </w:rPr>
              <w:t>2 years</w:t>
            </w:r>
            <w:r>
              <w:rPr>
                <w:rFonts w:cs="Arial"/>
                <w:szCs w:val="19"/>
                <w:lang w:val="en-US"/>
              </w:rPr>
              <w:t xml:space="preserve"> </w:t>
            </w:r>
            <w:r w:rsidRPr="00804389">
              <w:rPr>
                <w:rFonts w:cs="Arial"/>
                <w:i/>
                <w:iCs/>
                <w:sz w:val="16"/>
                <w:szCs w:val="16"/>
                <w:lang w:val="en-US"/>
              </w:rPr>
              <w:t xml:space="preserve">Note: For full details, see </w:t>
            </w:r>
            <w:hyperlink r:id="rId10" w:history="1">
              <w:r w:rsidRPr="00804389">
                <w:rPr>
                  <w:rStyle w:val="Hyperlink"/>
                  <w:rFonts w:ascii="Arial" w:hAnsi="Arial" w:cs="Arial"/>
                  <w:i/>
                  <w:iCs/>
                  <w:sz w:val="16"/>
                  <w:szCs w:val="16"/>
                  <w:lang w:val="en-US"/>
                </w:rPr>
                <w:t>SmPC</w:t>
              </w:r>
            </w:hyperlink>
          </w:p>
        </w:tc>
      </w:tr>
      <w:tr w:rsidR="00645D22" w:rsidRPr="00131D4C" w14:paraId="0C5028BC" w14:textId="77777777" w:rsidTr="00645D22">
        <w:tc>
          <w:tcPr>
            <w:tcW w:w="1561" w:type="pct"/>
            <w:shd w:val="clear" w:color="auto" w:fill="auto"/>
            <w:tcMar>
              <w:top w:w="57" w:type="dxa"/>
              <w:left w:w="170" w:type="dxa"/>
              <w:bottom w:w="57" w:type="dxa"/>
              <w:right w:w="170" w:type="dxa"/>
            </w:tcMar>
          </w:tcPr>
          <w:p w14:paraId="285B71C0" w14:textId="77777777" w:rsidR="00645D22" w:rsidRDefault="00645D22" w:rsidP="00642153">
            <w:pPr>
              <w:rPr>
                <w:rFonts w:cs="Arial"/>
                <w:szCs w:val="19"/>
              </w:rPr>
            </w:pPr>
            <w:r>
              <w:rPr>
                <w:rFonts w:cs="Arial"/>
                <w:szCs w:val="19"/>
              </w:rPr>
              <w:t>Artesunate (</w:t>
            </w:r>
            <w:r w:rsidRPr="00645D22">
              <w:rPr>
                <w:rFonts w:cs="Arial"/>
                <w:i/>
                <w:iCs/>
                <w:szCs w:val="19"/>
              </w:rPr>
              <w:t>Artesunate Amivas</w:t>
            </w:r>
            <w:r>
              <w:rPr>
                <w:rFonts w:cs="Arial"/>
                <w:szCs w:val="19"/>
              </w:rPr>
              <w:t>)</w:t>
            </w:r>
          </w:p>
          <w:p w14:paraId="5F6626F6" w14:textId="1BED1D7E" w:rsidR="00645D22" w:rsidRPr="00645D22" w:rsidRDefault="00645D22" w:rsidP="00642153">
            <w:pPr>
              <w:rPr>
                <w:rFonts w:cs="Arial"/>
                <w:szCs w:val="19"/>
              </w:rPr>
            </w:pPr>
            <w:r w:rsidRPr="00645D22">
              <w:rPr>
                <w:rFonts w:cs="Arial"/>
                <w:sz w:val="16"/>
                <w:szCs w:val="16"/>
              </w:rPr>
              <w:t xml:space="preserve">110mg vial </w:t>
            </w:r>
          </w:p>
        </w:tc>
        <w:tc>
          <w:tcPr>
            <w:tcW w:w="3439" w:type="pct"/>
            <w:shd w:val="clear" w:color="auto" w:fill="auto"/>
            <w:tcMar>
              <w:top w:w="57" w:type="dxa"/>
              <w:left w:w="170" w:type="dxa"/>
              <w:bottom w:w="57" w:type="dxa"/>
              <w:right w:w="170" w:type="dxa"/>
            </w:tcMar>
          </w:tcPr>
          <w:p w14:paraId="6CF19E3B" w14:textId="10330F60" w:rsidR="00645D22" w:rsidRDefault="00645D22" w:rsidP="00642153">
            <w:pPr>
              <w:tabs>
                <w:tab w:val="center" w:pos="3152"/>
              </w:tabs>
              <w:rPr>
                <w:rFonts w:cs="Arial"/>
                <w:szCs w:val="19"/>
                <w:lang w:val="en-US"/>
              </w:rPr>
            </w:pPr>
            <w:r w:rsidRPr="00645D22">
              <w:rPr>
                <w:rFonts w:cs="Arial"/>
                <w:szCs w:val="19"/>
                <w:lang w:val="en-US"/>
              </w:rPr>
              <w:t>Initial treatment of severe malaria in adults and children</w:t>
            </w:r>
          </w:p>
        </w:tc>
      </w:tr>
      <w:tr w:rsidR="00642153" w:rsidRPr="00131D4C" w14:paraId="7DFAA155" w14:textId="77777777" w:rsidTr="00645D22">
        <w:tc>
          <w:tcPr>
            <w:tcW w:w="1561" w:type="pct"/>
            <w:shd w:val="clear" w:color="auto" w:fill="auto"/>
            <w:tcMar>
              <w:top w:w="57" w:type="dxa"/>
              <w:left w:w="170" w:type="dxa"/>
              <w:bottom w:w="57" w:type="dxa"/>
              <w:right w:w="170" w:type="dxa"/>
            </w:tcMar>
          </w:tcPr>
          <w:p w14:paraId="550609F1" w14:textId="77777777" w:rsidR="00642153" w:rsidRDefault="00642153" w:rsidP="00642153">
            <w:pPr>
              <w:rPr>
                <w:rFonts w:cs="Arial"/>
                <w:szCs w:val="19"/>
              </w:rPr>
            </w:pPr>
            <w:r w:rsidRPr="00231EBC">
              <w:rPr>
                <w:rFonts w:cs="Arial"/>
                <w:szCs w:val="19"/>
              </w:rPr>
              <w:t>Cabotegravir</w:t>
            </w:r>
            <w:r>
              <w:rPr>
                <w:rFonts w:cs="Arial"/>
                <w:szCs w:val="19"/>
              </w:rPr>
              <w:t xml:space="preserve"> (</w:t>
            </w:r>
            <w:proofErr w:type="spellStart"/>
            <w:r>
              <w:rPr>
                <w:rFonts w:cs="Arial"/>
                <w:i/>
                <w:iCs/>
                <w:szCs w:val="19"/>
              </w:rPr>
              <w:t>Apretude</w:t>
            </w:r>
            <w:proofErr w:type="spellEnd"/>
            <w:r>
              <w:rPr>
                <w:rFonts w:cs="Arial"/>
                <w:szCs w:val="19"/>
              </w:rPr>
              <w:t>)</w:t>
            </w:r>
          </w:p>
          <w:p w14:paraId="1FA8C7D3" w14:textId="63B84C1F" w:rsidR="00642153" w:rsidRDefault="00642153" w:rsidP="00642153">
            <w:pPr>
              <w:rPr>
                <w:rFonts w:cs="Arial"/>
                <w:szCs w:val="19"/>
              </w:rPr>
            </w:pPr>
            <w:r w:rsidRPr="00D92B04">
              <w:rPr>
                <w:rFonts w:cs="Arial"/>
                <w:sz w:val="16"/>
                <w:szCs w:val="16"/>
              </w:rPr>
              <w:t>30mg tablet</w:t>
            </w:r>
            <w:r>
              <w:rPr>
                <w:rFonts w:cs="Arial"/>
                <w:sz w:val="16"/>
                <w:szCs w:val="16"/>
              </w:rPr>
              <w:t xml:space="preserve"> and 600mg in 3mL vial</w:t>
            </w:r>
          </w:p>
        </w:tc>
        <w:tc>
          <w:tcPr>
            <w:tcW w:w="3439" w:type="pct"/>
            <w:shd w:val="clear" w:color="auto" w:fill="auto"/>
            <w:tcMar>
              <w:top w:w="57" w:type="dxa"/>
              <w:left w:w="170" w:type="dxa"/>
              <w:bottom w:w="57" w:type="dxa"/>
              <w:right w:w="170" w:type="dxa"/>
            </w:tcMar>
          </w:tcPr>
          <w:p w14:paraId="29069E7B" w14:textId="304D3ED8" w:rsidR="00642153" w:rsidRPr="00B378AA" w:rsidRDefault="00642153" w:rsidP="00642153">
            <w:pPr>
              <w:tabs>
                <w:tab w:val="center" w:pos="3152"/>
              </w:tabs>
              <w:rPr>
                <w:rFonts w:cs="Arial"/>
                <w:szCs w:val="19"/>
                <w:lang w:val="en-US"/>
              </w:rPr>
            </w:pPr>
            <w:r>
              <w:rPr>
                <w:rFonts w:cs="Arial"/>
                <w:szCs w:val="19"/>
                <w:lang w:val="en-US"/>
              </w:rPr>
              <w:t xml:space="preserve">Use in </w:t>
            </w:r>
            <w:r w:rsidRPr="00231EBC">
              <w:rPr>
                <w:rFonts w:cs="Arial"/>
                <w:szCs w:val="19"/>
                <w:lang w:val="en-US"/>
              </w:rPr>
              <w:t xml:space="preserve">combination with safer sex practices for pre-exposure prophylaxis to reduce the risk of sexually acquired HIV-1 infection in high-risk adults and adolescents, weighing </w:t>
            </w:r>
            <w:r>
              <w:rPr>
                <w:rFonts w:cs="Arial"/>
                <w:szCs w:val="19"/>
                <w:lang w:val="en-US"/>
              </w:rPr>
              <w:t>≥</w:t>
            </w:r>
            <w:r w:rsidRPr="00231EBC">
              <w:rPr>
                <w:rFonts w:cs="Arial"/>
                <w:szCs w:val="19"/>
                <w:lang w:val="en-US"/>
              </w:rPr>
              <w:t>35kg</w:t>
            </w:r>
            <w:r>
              <w:rPr>
                <w:rFonts w:cs="Arial"/>
                <w:szCs w:val="19"/>
                <w:lang w:val="en-US"/>
              </w:rPr>
              <w:t xml:space="preserve"> </w:t>
            </w:r>
            <w:r w:rsidRPr="00231EBC">
              <w:rPr>
                <w:rFonts w:cs="Arial"/>
                <w:sz w:val="16"/>
                <w:szCs w:val="16"/>
                <w:lang w:val="en-US"/>
              </w:rPr>
              <w:t>[new injection and tablet formulations with new indication]</w:t>
            </w:r>
          </w:p>
        </w:tc>
      </w:tr>
      <w:tr w:rsidR="00642153" w:rsidRPr="00131D4C" w14:paraId="46C65DB4" w14:textId="77777777" w:rsidTr="00645D22">
        <w:tc>
          <w:tcPr>
            <w:tcW w:w="1561" w:type="pct"/>
            <w:shd w:val="clear" w:color="auto" w:fill="auto"/>
            <w:tcMar>
              <w:top w:w="57" w:type="dxa"/>
              <w:left w:w="170" w:type="dxa"/>
              <w:bottom w:w="57" w:type="dxa"/>
              <w:right w:w="170" w:type="dxa"/>
            </w:tcMar>
          </w:tcPr>
          <w:p w14:paraId="3B2B230D" w14:textId="77777777" w:rsidR="00642153" w:rsidRDefault="00642153" w:rsidP="00642153">
            <w:pPr>
              <w:rPr>
                <w:rFonts w:cs="Arial"/>
                <w:szCs w:val="19"/>
              </w:rPr>
            </w:pPr>
            <w:proofErr w:type="spellStart"/>
            <w:r>
              <w:rPr>
                <w:rFonts w:cs="Arial"/>
                <w:szCs w:val="19"/>
              </w:rPr>
              <w:t>Elafibranor</w:t>
            </w:r>
            <w:proofErr w:type="spellEnd"/>
            <w:r>
              <w:rPr>
                <w:rFonts w:cs="Arial"/>
                <w:szCs w:val="19"/>
              </w:rPr>
              <w:t xml:space="preserve"> (</w:t>
            </w:r>
            <w:proofErr w:type="spellStart"/>
            <w:r>
              <w:rPr>
                <w:rFonts w:cs="Arial"/>
                <w:i/>
                <w:iCs/>
                <w:szCs w:val="19"/>
              </w:rPr>
              <w:t>Iqirvo</w:t>
            </w:r>
            <w:proofErr w:type="spellEnd"/>
            <w:r>
              <w:rPr>
                <w:rFonts w:cs="Arial"/>
                <w:szCs w:val="19"/>
              </w:rPr>
              <w:t>)</w:t>
            </w:r>
          </w:p>
          <w:p w14:paraId="7A579CBF" w14:textId="00EC8F68" w:rsidR="00642153" w:rsidRPr="00C81158" w:rsidRDefault="00642153" w:rsidP="00642153">
            <w:pPr>
              <w:rPr>
                <w:rFonts w:cs="Arial"/>
                <w:szCs w:val="19"/>
              </w:rPr>
            </w:pPr>
            <w:r w:rsidRPr="00B203F9">
              <w:rPr>
                <w:rFonts w:cs="Arial"/>
                <w:sz w:val="16"/>
                <w:szCs w:val="16"/>
              </w:rPr>
              <w:t>80mg tablet</w:t>
            </w:r>
          </w:p>
        </w:tc>
        <w:tc>
          <w:tcPr>
            <w:tcW w:w="3439" w:type="pct"/>
            <w:shd w:val="clear" w:color="auto" w:fill="auto"/>
            <w:tcMar>
              <w:top w:w="57" w:type="dxa"/>
              <w:left w:w="170" w:type="dxa"/>
              <w:bottom w:w="57" w:type="dxa"/>
              <w:right w:w="170" w:type="dxa"/>
            </w:tcMar>
          </w:tcPr>
          <w:p w14:paraId="0E2544A0" w14:textId="0E46288E" w:rsidR="00642153" w:rsidRPr="00C81158" w:rsidRDefault="00642153" w:rsidP="00642153">
            <w:pPr>
              <w:tabs>
                <w:tab w:val="center" w:pos="3152"/>
              </w:tabs>
              <w:rPr>
                <w:rFonts w:cs="Arial"/>
                <w:szCs w:val="19"/>
                <w:lang w:val="en-US"/>
              </w:rPr>
            </w:pPr>
            <w:r w:rsidRPr="00B378AA">
              <w:rPr>
                <w:rFonts w:cs="Arial"/>
                <w:szCs w:val="19"/>
                <w:lang w:val="en-US"/>
              </w:rPr>
              <w:t>Treatment of primary biliary cholangitis in combination with ursodeoxycholic acid (UDCA) in adults with an inadequate response to UDCA, or as monotherapy in adults unable to tolerate UDCA</w:t>
            </w:r>
          </w:p>
        </w:tc>
      </w:tr>
      <w:tr w:rsidR="00642153" w:rsidRPr="00131D4C" w14:paraId="0D4E9E8E" w14:textId="77777777" w:rsidTr="00645D22">
        <w:tc>
          <w:tcPr>
            <w:tcW w:w="1561" w:type="pct"/>
            <w:shd w:val="clear" w:color="auto" w:fill="auto"/>
            <w:tcMar>
              <w:top w:w="57" w:type="dxa"/>
              <w:left w:w="170" w:type="dxa"/>
              <w:bottom w:w="57" w:type="dxa"/>
              <w:right w:w="170" w:type="dxa"/>
            </w:tcMar>
          </w:tcPr>
          <w:p w14:paraId="6021AB21" w14:textId="77777777" w:rsidR="00642153" w:rsidRDefault="00642153" w:rsidP="00642153">
            <w:pPr>
              <w:rPr>
                <w:rFonts w:cs="Arial"/>
                <w:szCs w:val="19"/>
              </w:rPr>
            </w:pPr>
            <w:proofErr w:type="spellStart"/>
            <w:r w:rsidRPr="00C81158">
              <w:rPr>
                <w:rFonts w:cs="Arial"/>
                <w:szCs w:val="19"/>
              </w:rPr>
              <w:t>Enfortumab</w:t>
            </w:r>
            <w:proofErr w:type="spellEnd"/>
            <w:r w:rsidRPr="00C81158">
              <w:rPr>
                <w:rFonts w:cs="Arial"/>
                <w:szCs w:val="19"/>
              </w:rPr>
              <w:t xml:space="preserve"> </w:t>
            </w:r>
            <w:proofErr w:type="spellStart"/>
            <w:r w:rsidRPr="00C81158">
              <w:rPr>
                <w:rFonts w:cs="Arial"/>
                <w:szCs w:val="19"/>
              </w:rPr>
              <w:t>vedotin</w:t>
            </w:r>
            <w:proofErr w:type="spellEnd"/>
            <w:r w:rsidRPr="00C81158">
              <w:rPr>
                <w:rFonts w:cs="Arial"/>
                <w:szCs w:val="19"/>
              </w:rPr>
              <w:t> </w:t>
            </w:r>
            <w:r>
              <w:rPr>
                <w:rFonts w:cs="Arial"/>
                <w:szCs w:val="19"/>
              </w:rPr>
              <w:t>(</w:t>
            </w:r>
            <w:proofErr w:type="spellStart"/>
            <w:r>
              <w:rPr>
                <w:rFonts w:cs="Arial"/>
                <w:i/>
                <w:iCs/>
                <w:szCs w:val="19"/>
              </w:rPr>
              <w:t>Padcev</w:t>
            </w:r>
            <w:proofErr w:type="spellEnd"/>
            <w:r>
              <w:rPr>
                <w:rFonts w:cs="Arial"/>
                <w:szCs w:val="19"/>
              </w:rPr>
              <w:t>)</w:t>
            </w:r>
          </w:p>
          <w:p w14:paraId="2DB9E89B" w14:textId="06AF025C" w:rsidR="00642153" w:rsidRPr="00CB7CB1" w:rsidRDefault="00642153" w:rsidP="00642153">
            <w:pPr>
              <w:rPr>
                <w:rFonts w:cs="Arial"/>
                <w:szCs w:val="19"/>
              </w:rPr>
            </w:pPr>
            <w:r w:rsidRPr="00C81158">
              <w:rPr>
                <w:rFonts w:cs="Arial"/>
                <w:sz w:val="16"/>
                <w:szCs w:val="16"/>
              </w:rPr>
              <w:t>20mg and 30mg vials</w:t>
            </w:r>
          </w:p>
        </w:tc>
        <w:tc>
          <w:tcPr>
            <w:tcW w:w="3439" w:type="pct"/>
            <w:shd w:val="clear" w:color="auto" w:fill="auto"/>
            <w:tcMar>
              <w:top w:w="57" w:type="dxa"/>
              <w:left w:w="170" w:type="dxa"/>
              <w:bottom w:w="57" w:type="dxa"/>
              <w:right w:w="170" w:type="dxa"/>
            </w:tcMar>
          </w:tcPr>
          <w:p w14:paraId="501D40E0" w14:textId="02FA3015" w:rsidR="00642153" w:rsidRDefault="00642153" w:rsidP="00642153">
            <w:pPr>
              <w:tabs>
                <w:tab w:val="center" w:pos="3152"/>
              </w:tabs>
              <w:rPr>
                <w:rFonts w:cs="Arial"/>
                <w:bCs/>
                <w:szCs w:val="19"/>
              </w:rPr>
            </w:pPr>
            <w:r w:rsidRPr="00C81158">
              <w:rPr>
                <w:rFonts w:cs="Arial"/>
                <w:szCs w:val="19"/>
                <w:lang w:val="en-US"/>
              </w:rPr>
              <w:t>Use in combination with pembrolizumab, for the first-line treatment of adults with unresectable or metastatic urothelial cancer who are eligible for platinum-containing chemotherapy</w:t>
            </w:r>
            <w:r>
              <w:rPr>
                <w:rFonts w:cs="Arial"/>
                <w:szCs w:val="19"/>
                <w:lang w:val="en-US"/>
              </w:rPr>
              <w:t xml:space="preserve"> </w:t>
            </w:r>
            <w:r w:rsidRPr="00C81158">
              <w:rPr>
                <w:rFonts w:cs="Arial"/>
                <w:sz w:val="16"/>
                <w:szCs w:val="16"/>
                <w:lang w:val="en-US"/>
              </w:rPr>
              <w:t>[new indication]</w:t>
            </w:r>
          </w:p>
        </w:tc>
      </w:tr>
      <w:tr w:rsidR="00642153" w:rsidRPr="00131D4C" w14:paraId="136D9969" w14:textId="77777777" w:rsidTr="00645D22">
        <w:tc>
          <w:tcPr>
            <w:tcW w:w="1561" w:type="pct"/>
            <w:shd w:val="clear" w:color="auto" w:fill="auto"/>
            <w:tcMar>
              <w:top w:w="57" w:type="dxa"/>
              <w:left w:w="170" w:type="dxa"/>
              <w:bottom w:w="57" w:type="dxa"/>
              <w:right w:w="170" w:type="dxa"/>
            </w:tcMar>
          </w:tcPr>
          <w:p w14:paraId="2D3B3946" w14:textId="77777777" w:rsidR="00886D4E" w:rsidRDefault="00642153" w:rsidP="00642153">
            <w:pPr>
              <w:rPr>
                <w:rFonts w:cs="Arial"/>
                <w:szCs w:val="19"/>
              </w:rPr>
            </w:pPr>
            <w:r w:rsidRPr="004C3F18">
              <w:rPr>
                <w:rFonts w:cs="Arial"/>
                <w:szCs w:val="19"/>
              </w:rPr>
              <w:t>Flecainide</w:t>
            </w:r>
            <w:r>
              <w:rPr>
                <w:rFonts w:cs="Arial"/>
                <w:szCs w:val="19"/>
              </w:rPr>
              <w:t xml:space="preserve"> </w:t>
            </w:r>
          </w:p>
          <w:p w14:paraId="1C256483" w14:textId="7813DE11" w:rsidR="00642153" w:rsidRPr="00C81158" w:rsidRDefault="00642153" w:rsidP="00642153">
            <w:pPr>
              <w:rPr>
                <w:rFonts w:cs="Arial"/>
                <w:szCs w:val="19"/>
              </w:rPr>
            </w:pPr>
            <w:r w:rsidRPr="004C3F18">
              <w:rPr>
                <w:rFonts w:cs="Arial"/>
                <w:sz w:val="16"/>
                <w:szCs w:val="16"/>
              </w:rPr>
              <w:t>25mg/5mL oral solution</w:t>
            </w:r>
          </w:p>
        </w:tc>
        <w:tc>
          <w:tcPr>
            <w:tcW w:w="3439" w:type="pct"/>
            <w:shd w:val="clear" w:color="auto" w:fill="auto"/>
            <w:tcMar>
              <w:top w:w="57" w:type="dxa"/>
              <w:left w:w="170" w:type="dxa"/>
              <w:bottom w:w="57" w:type="dxa"/>
              <w:right w:w="170" w:type="dxa"/>
            </w:tcMar>
          </w:tcPr>
          <w:p w14:paraId="618DAE89" w14:textId="2A30A5D9" w:rsidR="00642153" w:rsidRPr="00A075A3" w:rsidRDefault="00642153" w:rsidP="00642153">
            <w:pPr>
              <w:tabs>
                <w:tab w:val="center" w:pos="3152"/>
              </w:tabs>
              <w:rPr>
                <w:rFonts w:cs="Arial"/>
                <w:szCs w:val="19"/>
                <w:lang w:val="en-US"/>
              </w:rPr>
            </w:pPr>
            <w:r w:rsidRPr="004C3F18">
              <w:rPr>
                <w:rFonts w:cs="Arial"/>
                <w:color w:val="000000"/>
                <w:szCs w:val="19"/>
                <w:lang w:val="en-US"/>
              </w:rPr>
              <w:t xml:space="preserve">AV nodal reciprocating tachycardia, arrhythmias associated with Wolff- Parkinson- White Syndrome and similar conditions with accessory pathways; Paroxysmal atrial fibrillation in patients with disabling symptoms when treatment need has been established and in the absence of left ventricular dysfunction; Symptomatic sustained ventricular tachycardia; Premature ventricular contractions and/or non-sustained ventricular tachycardia which are causing disabling symptoms, where these are resistant to other therapy or when other treatment has not been tolerated; </w:t>
            </w:r>
            <w:r w:rsidR="00886D4E">
              <w:rPr>
                <w:rFonts w:cs="Arial"/>
                <w:color w:val="000000"/>
                <w:szCs w:val="19"/>
                <w:lang w:val="en-US"/>
              </w:rPr>
              <w:t>M</w:t>
            </w:r>
            <w:r w:rsidRPr="004C3F18">
              <w:rPr>
                <w:rFonts w:cs="Arial"/>
                <w:color w:val="000000"/>
                <w:szCs w:val="19"/>
                <w:lang w:val="en-US"/>
              </w:rPr>
              <w:t>aintenance of normal rhythm following conversion by other means</w:t>
            </w:r>
            <w:r>
              <w:rPr>
                <w:rFonts w:cs="Arial"/>
                <w:color w:val="000000"/>
                <w:szCs w:val="19"/>
                <w:lang w:val="en-US"/>
              </w:rPr>
              <w:t xml:space="preserve">, in people aged ≥12 years </w:t>
            </w:r>
            <w:r w:rsidRPr="00343EAF">
              <w:rPr>
                <w:rFonts w:cs="Arial"/>
                <w:color w:val="000000"/>
                <w:sz w:val="16"/>
                <w:szCs w:val="16"/>
                <w:lang w:val="en-US"/>
              </w:rPr>
              <w:t>[new oral solution formulation</w:t>
            </w:r>
            <w:r>
              <w:rPr>
                <w:rFonts w:cs="Arial"/>
                <w:color w:val="000000"/>
                <w:sz w:val="16"/>
                <w:szCs w:val="16"/>
                <w:lang w:val="en-US"/>
              </w:rPr>
              <w:t>, from Colonis Pharma</w:t>
            </w:r>
            <w:r w:rsidRPr="00343EAF">
              <w:rPr>
                <w:rFonts w:cs="Arial"/>
                <w:color w:val="000000"/>
                <w:sz w:val="16"/>
                <w:szCs w:val="16"/>
                <w:lang w:val="en-US"/>
              </w:rPr>
              <w:t>]</w:t>
            </w:r>
          </w:p>
        </w:tc>
      </w:tr>
      <w:tr w:rsidR="00642153" w:rsidRPr="00131D4C" w14:paraId="5887A18C" w14:textId="77777777" w:rsidTr="00645D22">
        <w:tc>
          <w:tcPr>
            <w:tcW w:w="1561" w:type="pct"/>
            <w:shd w:val="clear" w:color="auto" w:fill="auto"/>
            <w:tcMar>
              <w:top w:w="57" w:type="dxa"/>
              <w:left w:w="170" w:type="dxa"/>
              <w:bottom w:w="57" w:type="dxa"/>
              <w:right w:w="170" w:type="dxa"/>
            </w:tcMar>
          </w:tcPr>
          <w:p w14:paraId="47DB370A" w14:textId="77777777" w:rsidR="00642153" w:rsidRPr="001137C8" w:rsidRDefault="00642153" w:rsidP="00642153">
            <w:pPr>
              <w:rPr>
                <w:rFonts w:cs="Arial"/>
                <w:color w:val="000000" w:themeColor="text1"/>
                <w:szCs w:val="19"/>
              </w:rPr>
            </w:pPr>
            <w:proofErr w:type="spellStart"/>
            <w:r w:rsidRPr="001137C8">
              <w:rPr>
                <w:rFonts w:cs="Arial"/>
                <w:color w:val="000000" w:themeColor="text1"/>
                <w:szCs w:val="19"/>
              </w:rPr>
              <w:t>Fruquintinib</w:t>
            </w:r>
            <w:proofErr w:type="spellEnd"/>
            <w:r w:rsidRPr="001137C8">
              <w:rPr>
                <w:rFonts w:cs="Arial"/>
                <w:color w:val="000000" w:themeColor="text1"/>
                <w:szCs w:val="19"/>
              </w:rPr>
              <w:t xml:space="preserve"> (</w:t>
            </w:r>
            <w:proofErr w:type="spellStart"/>
            <w:r w:rsidRPr="001137C8">
              <w:rPr>
                <w:rFonts w:cs="Arial"/>
                <w:i/>
                <w:iCs/>
                <w:color w:val="000000" w:themeColor="text1"/>
                <w:szCs w:val="19"/>
              </w:rPr>
              <w:t>Fruzaqla</w:t>
            </w:r>
            <w:proofErr w:type="spellEnd"/>
            <w:r w:rsidRPr="001137C8">
              <w:rPr>
                <w:rFonts w:cs="Arial"/>
                <w:color w:val="000000" w:themeColor="text1"/>
                <w:szCs w:val="19"/>
              </w:rPr>
              <w:t>)</w:t>
            </w:r>
          </w:p>
          <w:p w14:paraId="08D5298B" w14:textId="3FDB63D5" w:rsidR="00642153" w:rsidRPr="005726DA" w:rsidRDefault="00642153" w:rsidP="00642153">
            <w:pPr>
              <w:rPr>
                <w:rFonts w:cs="Arial"/>
                <w:szCs w:val="19"/>
                <w:u w:color="000080"/>
              </w:rPr>
            </w:pPr>
            <w:r w:rsidRPr="001137C8">
              <w:rPr>
                <w:rFonts w:cs="Arial"/>
                <w:color w:val="000000" w:themeColor="text1"/>
                <w:sz w:val="16"/>
                <w:szCs w:val="16"/>
              </w:rPr>
              <w:t>1mg and 5mg capsules</w:t>
            </w:r>
          </w:p>
        </w:tc>
        <w:tc>
          <w:tcPr>
            <w:tcW w:w="3439" w:type="pct"/>
            <w:shd w:val="clear" w:color="auto" w:fill="auto"/>
            <w:tcMar>
              <w:top w:w="57" w:type="dxa"/>
              <w:left w:w="170" w:type="dxa"/>
              <w:bottom w:w="57" w:type="dxa"/>
              <w:right w:w="170" w:type="dxa"/>
            </w:tcMar>
          </w:tcPr>
          <w:p w14:paraId="74A77D87" w14:textId="0C0C4938" w:rsidR="00642153" w:rsidRPr="00546CA7" w:rsidRDefault="00642153" w:rsidP="00642153">
            <w:pPr>
              <w:tabs>
                <w:tab w:val="center" w:pos="3152"/>
              </w:tabs>
              <w:rPr>
                <w:rFonts w:cs="Arial"/>
                <w:szCs w:val="19"/>
                <w:lang w:val="en-US"/>
              </w:rPr>
            </w:pPr>
            <w:r w:rsidRPr="00C4188D">
              <w:rPr>
                <w:rFonts w:cs="Arial"/>
                <w:color w:val="000000" w:themeColor="text1"/>
                <w:szCs w:val="19"/>
                <w:lang w:val="en-US"/>
              </w:rPr>
              <w:t>Treatment of adults with metastatic colorectal cancer who have been previously treated with available therapies, including fluoropyrimidine-, oxaliplatin-, and irinotecan-based chemotherapy, with or without an anti-VEGF therapy, and, if RAS wildtype and medically appropriate, an anti-EGFR therapy</w:t>
            </w:r>
          </w:p>
        </w:tc>
      </w:tr>
      <w:tr w:rsidR="00642153" w:rsidRPr="00131D4C" w14:paraId="6A7E9696" w14:textId="77777777" w:rsidTr="00645D22">
        <w:tc>
          <w:tcPr>
            <w:tcW w:w="1561" w:type="pct"/>
            <w:shd w:val="clear" w:color="auto" w:fill="auto"/>
            <w:tcMar>
              <w:top w:w="57" w:type="dxa"/>
              <w:left w:w="170" w:type="dxa"/>
              <w:bottom w:w="57" w:type="dxa"/>
              <w:right w:w="170" w:type="dxa"/>
            </w:tcMar>
          </w:tcPr>
          <w:p w14:paraId="3B6592A5" w14:textId="77777777" w:rsidR="00642153" w:rsidRDefault="00642153" w:rsidP="00642153">
            <w:pPr>
              <w:rPr>
                <w:rFonts w:cs="Arial"/>
                <w:szCs w:val="19"/>
              </w:rPr>
            </w:pPr>
            <w:r w:rsidRPr="005726DA">
              <w:rPr>
                <w:rFonts w:cs="Arial"/>
                <w:szCs w:val="19"/>
                <w:u w:color="000080"/>
              </w:rPr>
              <w:t>Levodopa + carbidopa + entacapone</w:t>
            </w:r>
            <w:r>
              <w:rPr>
                <w:rFonts w:cs="Arial"/>
                <w:szCs w:val="19"/>
              </w:rPr>
              <w:t xml:space="preserve"> (</w:t>
            </w:r>
            <w:r>
              <w:rPr>
                <w:rFonts w:cs="Arial"/>
                <w:i/>
                <w:iCs/>
                <w:szCs w:val="19"/>
              </w:rPr>
              <w:t>Lecigon</w:t>
            </w:r>
            <w:r>
              <w:rPr>
                <w:rFonts w:cs="Arial"/>
                <w:szCs w:val="19"/>
              </w:rPr>
              <w:t xml:space="preserve">) </w:t>
            </w:r>
          </w:p>
          <w:p w14:paraId="6EA30A3D" w14:textId="42B79431" w:rsidR="00642153" w:rsidRPr="00A075A3" w:rsidRDefault="00642153" w:rsidP="00642153">
            <w:pPr>
              <w:rPr>
                <w:rFonts w:cs="Arial"/>
                <w:szCs w:val="19"/>
              </w:rPr>
            </w:pPr>
            <w:r w:rsidRPr="00546CA7">
              <w:rPr>
                <w:rFonts w:cs="Arial"/>
                <w:sz w:val="16"/>
                <w:szCs w:val="16"/>
              </w:rPr>
              <w:t>940mg/235mg/940mg in 47mL cartridge</w:t>
            </w:r>
          </w:p>
        </w:tc>
        <w:tc>
          <w:tcPr>
            <w:tcW w:w="3439" w:type="pct"/>
            <w:shd w:val="clear" w:color="auto" w:fill="auto"/>
            <w:tcMar>
              <w:top w:w="57" w:type="dxa"/>
              <w:left w:w="170" w:type="dxa"/>
              <w:bottom w:w="57" w:type="dxa"/>
              <w:right w:w="170" w:type="dxa"/>
            </w:tcMar>
          </w:tcPr>
          <w:p w14:paraId="7FCCAFBB" w14:textId="17BCE3E2" w:rsidR="00642153" w:rsidRPr="004C3F18" w:rsidRDefault="00642153" w:rsidP="00642153">
            <w:pPr>
              <w:tabs>
                <w:tab w:val="center" w:pos="3152"/>
              </w:tabs>
              <w:rPr>
                <w:rFonts w:cs="Arial"/>
                <w:color w:val="000000"/>
                <w:szCs w:val="19"/>
                <w:lang w:val="en-US"/>
              </w:rPr>
            </w:pPr>
            <w:r w:rsidRPr="00546CA7">
              <w:rPr>
                <w:rFonts w:cs="Arial"/>
                <w:szCs w:val="19"/>
                <w:lang w:val="en-US"/>
              </w:rPr>
              <w:t>Treatment of advanced Parkinson´s disease with severe motor fluctuations and hyperkinesia or dyskinesia when available oral combinations of Parkinson medicinal products have not given satisfactory results</w:t>
            </w:r>
            <w:r>
              <w:rPr>
                <w:rFonts w:cs="Arial"/>
                <w:sz w:val="18"/>
                <w:szCs w:val="18"/>
                <w:lang w:val="en-US"/>
              </w:rPr>
              <w:t xml:space="preserve"> </w:t>
            </w:r>
            <w:r w:rsidRPr="00546CA7">
              <w:rPr>
                <w:rFonts w:cs="Arial"/>
                <w:sz w:val="16"/>
                <w:szCs w:val="16"/>
                <w:lang w:val="en-US"/>
              </w:rPr>
              <w:t xml:space="preserve">[new </w:t>
            </w:r>
            <w:r>
              <w:rPr>
                <w:rFonts w:cs="Arial"/>
                <w:sz w:val="16"/>
                <w:szCs w:val="16"/>
                <w:lang w:val="en-US"/>
              </w:rPr>
              <w:t xml:space="preserve">intestinal gel </w:t>
            </w:r>
            <w:r w:rsidRPr="00546CA7">
              <w:rPr>
                <w:rFonts w:cs="Arial"/>
                <w:sz w:val="16"/>
                <w:szCs w:val="16"/>
                <w:lang w:val="en-US"/>
              </w:rPr>
              <w:t>formulation]</w:t>
            </w:r>
          </w:p>
        </w:tc>
      </w:tr>
      <w:tr w:rsidR="00642153" w:rsidRPr="00131D4C" w14:paraId="2C465448" w14:textId="77777777" w:rsidTr="00645D22">
        <w:tc>
          <w:tcPr>
            <w:tcW w:w="1561" w:type="pct"/>
            <w:shd w:val="clear" w:color="auto" w:fill="auto"/>
            <w:tcMar>
              <w:top w:w="57" w:type="dxa"/>
              <w:left w:w="170" w:type="dxa"/>
              <w:bottom w:w="57" w:type="dxa"/>
              <w:right w:w="170" w:type="dxa"/>
            </w:tcMar>
          </w:tcPr>
          <w:p w14:paraId="6D9665FB" w14:textId="77777777" w:rsidR="00642153" w:rsidRDefault="00642153" w:rsidP="00642153">
            <w:pPr>
              <w:rPr>
                <w:rFonts w:cs="Arial"/>
                <w:szCs w:val="19"/>
              </w:rPr>
            </w:pPr>
            <w:r>
              <w:rPr>
                <w:rFonts w:cs="Arial"/>
                <w:szCs w:val="19"/>
              </w:rPr>
              <w:t>Midazolam (</w:t>
            </w:r>
            <w:proofErr w:type="spellStart"/>
            <w:r>
              <w:rPr>
                <w:rFonts w:cs="Arial"/>
                <w:i/>
                <w:iCs/>
                <w:szCs w:val="19"/>
              </w:rPr>
              <w:t>Buccolam</w:t>
            </w:r>
            <w:proofErr w:type="spellEnd"/>
            <w:r>
              <w:rPr>
                <w:rFonts w:cs="Arial"/>
                <w:szCs w:val="19"/>
              </w:rPr>
              <w:t>)</w:t>
            </w:r>
          </w:p>
          <w:p w14:paraId="529A080F" w14:textId="4B45FBB9" w:rsidR="00642153" w:rsidRPr="00876965" w:rsidRDefault="00642153" w:rsidP="00642153">
            <w:pPr>
              <w:rPr>
                <w:rFonts w:cs="Arial"/>
                <w:sz w:val="16"/>
                <w:szCs w:val="16"/>
              </w:rPr>
            </w:pPr>
            <w:r w:rsidRPr="00876965">
              <w:rPr>
                <w:rFonts w:cs="Arial"/>
                <w:sz w:val="16"/>
                <w:szCs w:val="16"/>
              </w:rPr>
              <w:t>10mg in 2mL prefilled oral syringe</w:t>
            </w:r>
          </w:p>
          <w:p w14:paraId="1563E9DD" w14:textId="1CC77262" w:rsidR="00642153" w:rsidRPr="00876965" w:rsidRDefault="00642153" w:rsidP="00642153">
            <w:pPr>
              <w:rPr>
                <w:rFonts w:cs="Arial"/>
                <w:szCs w:val="19"/>
              </w:rPr>
            </w:pPr>
          </w:p>
        </w:tc>
        <w:tc>
          <w:tcPr>
            <w:tcW w:w="3439" w:type="pct"/>
            <w:shd w:val="clear" w:color="auto" w:fill="auto"/>
            <w:tcMar>
              <w:top w:w="57" w:type="dxa"/>
              <w:left w:w="170" w:type="dxa"/>
              <w:bottom w:w="57" w:type="dxa"/>
              <w:right w:w="170" w:type="dxa"/>
            </w:tcMar>
          </w:tcPr>
          <w:p w14:paraId="2431F433" w14:textId="77777777" w:rsidR="00642153" w:rsidRDefault="00642153" w:rsidP="00642153">
            <w:pPr>
              <w:tabs>
                <w:tab w:val="center" w:pos="3152"/>
              </w:tabs>
              <w:rPr>
                <w:rFonts w:cs="Arial"/>
                <w:sz w:val="18"/>
                <w:szCs w:val="18"/>
              </w:rPr>
            </w:pPr>
            <w:r w:rsidRPr="00876965">
              <w:rPr>
                <w:rFonts w:cs="Arial"/>
                <w:szCs w:val="19"/>
              </w:rPr>
              <w:t>Treatment of prolonged, acute, convulsive seizures in adults, adolescents, children and infants aged ≥3 months</w:t>
            </w:r>
            <w:r>
              <w:rPr>
                <w:rFonts w:cs="Arial"/>
                <w:sz w:val="18"/>
                <w:szCs w:val="18"/>
              </w:rPr>
              <w:t xml:space="preserve"> </w:t>
            </w:r>
          </w:p>
          <w:p w14:paraId="350F6FF2" w14:textId="109E4E63" w:rsidR="00642153" w:rsidRPr="00B64A1C" w:rsidRDefault="00642153" w:rsidP="00642153">
            <w:pPr>
              <w:tabs>
                <w:tab w:val="center" w:pos="3152"/>
              </w:tabs>
              <w:rPr>
                <w:rFonts w:cs="Arial"/>
                <w:sz w:val="18"/>
                <w:szCs w:val="18"/>
              </w:rPr>
            </w:pPr>
            <w:r w:rsidRPr="00876965">
              <w:rPr>
                <w:rFonts w:cs="Arial"/>
                <w:sz w:val="16"/>
                <w:szCs w:val="16"/>
              </w:rPr>
              <w:t>[licence change from use only in infants, children and adolescents]</w:t>
            </w:r>
          </w:p>
        </w:tc>
      </w:tr>
      <w:tr w:rsidR="00642153" w:rsidRPr="00131D4C" w14:paraId="51702A51" w14:textId="77777777" w:rsidTr="00645D22">
        <w:tc>
          <w:tcPr>
            <w:tcW w:w="1561" w:type="pct"/>
            <w:shd w:val="clear" w:color="auto" w:fill="auto"/>
            <w:tcMar>
              <w:top w:w="57" w:type="dxa"/>
              <w:left w:w="170" w:type="dxa"/>
              <w:bottom w:w="57" w:type="dxa"/>
              <w:right w:w="170" w:type="dxa"/>
            </w:tcMar>
          </w:tcPr>
          <w:p w14:paraId="03D09227" w14:textId="77777777" w:rsidR="00642153" w:rsidRDefault="00642153" w:rsidP="00642153">
            <w:pPr>
              <w:rPr>
                <w:rFonts w:cs="Arial"/>
                <w:szCs w:val="19"/>
              </w:rPr>
            </w:pPr>
            <w:r>
              <w:rPr>
                <w:rFonts w:cs="Arial"/>
                <w:szCs w:val="19"/>
              </w:rPr>
              <w:t>Nivolumab (</w:t>
            </w:r>
            <w:proofErr w:type="spellStart"/>
            <w:r>
              <w:rPr>
                <w:rFonts w:cs="Arial"/>
                <w:i/>
                <w:iCs/>
                <w:szCs w:val="19"/>
              </w:rPr>
              <w:t>Opdivo</w:t>
            </w:r>
            <w:proofErr w:type="spellEnd"/>
            <w:r>
              <w:rPr>
                <w:rFonts w:cs="Arial"/>
                <w:szCs w:val="19"/>
              </w:rPr>
              <w:t>)</w:t>
            </w:r>
          </w:p>
          <w:p w14:paraId="211C1EEE" w14:textId="7383A440" w:rsidR="00642153" w:rsidRPr="00723718" w:rsidRDefault="00642153" w:rsidP="00642153">
            <w:pPr>
              <w:rPr>
                <w:rFonts w:cs="Arial"/>
                <w:szCs w:val="19"/>
              </w:rPr>
            </w:pPr>
            <w:r w:rsidRPr="00DD54D7">
              <w:rPr>
                <w:rFonts w:cs="Arial"/>
                <w:sz w:val="16"/>
                <w:szCs w:val="16"/>
              </w:rPr>
              <w:t>40mg in 4mL, 100mg in 10mL, 120mg in 12mL and 240mg in 24mL vials</w:t>
            </w:r>
          </w:p>
        </w:tc>
        <w:tc>
          <w:tcPr>
            <w:tcW w:w="3439" w:type="pct"/>
            <w:shd w:val="clear" w:color="auto" w:fill="auto"/>
            <w:tcMar>
              <w:top w:w="57" w:type="dxa"/>
              <w:left w:w="170" w:type="dxa"/>
              <w:bottom w:w="57" w:type="dxa"/>
              <w:right w:w="170" w:type="dxa"/>
            </w:tcMar>
          </w:tcPr>
          <w:p w14:paraId="4EDB62F5" w14:textId="1C413366" w:rsidR="00642153" w:rsidRPr="001D7849" w:rsidRDefault="00642153" w:rsidP="00642153">
            <w:pPr>
              <w:tabs>
                <w:tab w:val="center" w:pos="3152"/>
              </w:tabs>
              <w:rPr>
                <w:rFonts w:cs="Arial"/>
                <w:szCs w:val="19"/>
              </w:rPr>
            </w:pPr>
            <w:r>
              <w:rPr>
                <w:rFonts w:cs="Arial"/>
                <w:szCs w:val="19"/>
                <w:lang w:val="en-US"/>
              </w:rPr>
              <w:t xml:space="preserve">Use </w:t>
            </w:r>
            <w:r w:rsidRPr="00AD2E78">
              <w:rPr>
                <w:rFonts w:cs="Arial"/>
                <w:szCs w:val="19"/>
                <w:lang w:val="en-US"/>
              </w:rPr>
              <w:t>in combination with cisplatin and gemcitabine for the first-line treatment of adults with unresectable or metastatic urothelial carcinoma</w:t>
            </w:r>
            <w:r>
              <w:rPr>
                <w:rFonts w:cs="Arial"/>
                <w:szCs w:val="19"/>
                <w:lang w:val="en-US"/>
              </w:rPr>
              <w:t xml:space="preserve"> </w:t>
            </w:r>
            <w:r w:rsidRPr="00EF2DEA">
              <w:rPr>
                <w:rFonts w:cs="Arial"/>
                <w:sz w:val="16"/>
                <w:szCs w:val="16"/>
                <w:lang w:val="en-US"/>
              </w:rPr>
              <w:t>[new indication]</w:t>
            </w:r>
          </w:p>
        </w:tc>
      </w:tr>
      <w:tr w:rsidR="00642153" w:rsidRPr="00862949" w14:paraId="4FDE97ED" w14:textId="77777777" w:rsidTr="002772ED">
        <w:tc>
          <w:tcPr>
            <w:tcW w:w="5000" w:type="pct"/>
            <w:gridSpan w:val="2"/>
            <w:shd w:val="clear" w:color="auto" w:fill="auto"/>
            <w:tcMar>
              <w:top w:w="0" w:type="dxa"/>
              <w:bottom w:w="0" w:type="dxa"/>
            </w:tcMar>
          </w:tcPr>
          <w:p w14:paraId="0963AC88" w14:textId="77777777" w:rsidR="00642153" w:rsidRPr="00862949" w:rsidRDefault="00642153" w:rsidP="00642153">
            <w:pPr>
              <w:rPr>
                <w:rFonts w:cs="Arial"/>
                <w:b/>
                <w:noProof/>
                <w:sz w:val="8"/>
                <w:szCs w:val="8"/>
              </w:rPr>
            </w:pPr>
          </w:p>
        </w:tc>
      </w:tr>
      <w:tr w:rsidR="00642153" w:rsidRPr="00862949" w14:paraId="5D040A0A" w14:textId="77777777" w:rsidTr="002772ED">
        <w:tc>
          <w:tcPr>
            <w:tcW w:w="5000" w:type="pct"/>
            <w:gridSpan w:val="2"/>
            <w:shd w:val="clear" w:color="auto" w:fill="DAEEF3"/>
            <w:tcMar>
              <w:top w:w="0" w:type="dxa"/>
              <w:bottom w:w="0" w:type="dxa"/>
            </w:tcMar>
          </w:tcPr>
          <w:p w14:paraId="2977339E" w14:textId="77777777" w:rsidR="00642153" w:rsidRPr="00862949" w:rsidRDefault="00642153" w:rsidP="00642153">
            <w:pPr>
              <w:rPr>
                <w:rFonts w:cs="Arial"/>
                <w:b/>
                <w:i/>
                <w:noProof/>
                <w:sz w:val="8"/>
                <w:szCs w:val="8"/>
              </w:rPr>
            </w:pPr>
          </w:p>
        </w:tc>
      </w:tr>
      <w:bookmarkEnd w:id="0"/>
    </w:tbl>
    <w:p w14:paraId="5D523CB4" w14:textId="77777777" w:rsidR="0022269C" w:rsidRDefault="0022269C" w:rsidP="00727945">
      <w:pPr>
        <w:rPr>
          <w:rFonts w:ascii="Latha" w:hAnsi="Latha" w:cs="Latha"/>
          <w:sz w:val="8"/>
          <w:szCs w:val="8"/>
        </w:rPr>
      </w:pPr>
    </w:p>
    <w:p w14:paraId="36EFB69C" w14:textId="77777777" w:rsidR="001A42CE" w:rsidRPr="00727945" w:rsidRDefault="001A42CE" w:rsidP="00727945">
      <w:pPr>
        <w:rPr>
          <w:rFonts w:ascii="Latha" w:hAnsi="Latha" w:cs="Latha"/>
          <w:sz w:val="8"/>
          <w:szCs w:val="8"/>
        </w:rPr>
        <w:sectPr w:rsidR="001A42CE" w:rsidRPr="00727945" w:rsidSect="002772ED">
          <w:headerReference w:type="even" r:id="rId11"/>
          <w:headerReference w:type="default" r:id="rId12"/>
          <w:footerReference w:type="even" r:id="rId13"/>
          <w:footerReference w:type="default" r:id="rId14"/>
          <w:headerReference w:type="first" r:id="rId15"/>
          <w:pgSz w:w="11906" w:h="16838" w:code="9"/>
          <w:pgMar w:top="680" w:right="851" w:bottom="680" w:left="851" w:header="567" w:footer="227" w:gutter="0"/>
          <w:cols w:space="708"/>
          <w:docGrid w:linePitch="360"/>
        </w:sectPr>
      </w:pPr>
    </w:p>
    <w:p w14:paraId="03EC85FF" w14:textId="77777777" w:rsidR="00A81694" w:rsidRDefault="00EB3E6F" w:rsidP="00EB3E6F">
      <w:pPr>
        <w:tabs>
          <w:tab w:val="left" w:pos="2087"/>
        </w:tabs>
      </w:pPr>
      <w:r>
        <w:lastRenderedPageBreak/>
        <w:tab/>
      </w:r>
    </w:p>
    <w:tbl>
      <w:tblPr>
        <w:tblW w:w="5170" w:type="pct"/>
        <w:tblInd w:w="-176" w:type="dxa"/>
        <w:tblLayout w:type="fixed"/>
        <w:tblLook w:val="01E0" w:firstRow="1" w:lastRow="1" w:firstColumn="1" w:lastColumn="1" w:noHBand="0" w:noVBand="0"/>
      </w:tblPr>
      <w:tblGrid>
        <w:gridCol w:w="3011"/>
        <w:gridCol w:w="7540"/>
      </w:tblGrid>
      <w:tr w:rsidR="00303DF2" w:rsidRPr="00862949" w14:paraId="4E288984" w14:textId="77777777" w:rsidTr="004D6B16">
        <w:tc>
          <w:tcPr>
            <w:tcW w:w="5000" w:type="pct"/>
            <w:gridSpan w:val="2"/>
            <w:shd w:val="clear" w:color="auto" w:fill="0070C0"/>
            <w:tcMar>
              <w:top w:w="85" w:type="dxa"/>
              <w:bottom w:w="85" w:type="dxa"/>
            </w:tcMar>
            <w:vAlign w:val="bottom"/>
          </w:tcPr>
          <w:p w14:paraId="0D353B17" w14:textId="77777777" w:rsidR="00303DF2" w:rsidRPr="00862949" w:rsidRDefault="00303DF2" w:rsidP="004D6B16">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303DF2" w:rsidRPr="00862949" w14:paraId="51F5339F" w14:textId="77777777" w:rsidTr="004D6B16">
        <w:tc>
          <w:tcPr>
            <w:tcW w:w="5000" w:type="pct"/>
            <w:gridSpan w:val="2"/>
            <w:shd w:val="clear" w:color="auto" w:fill="DAEEF3"/>
            <w:tcMar>
              <w:top w:w="0" w:type="dxa"/>
              <w:bottom w:w="0" w:type="dxa"/>
            </w:tcMar>
          </w:tcPr>
          <w:p w14:paraId="04307495" w14:textId="77777777" w:rsidR="00303DF2" w:rsidRPr="00862949" w:rsidRDefault="00303DF2" w:rsidP="004D6B16">
            <w:pPr>
              <w:rPr>
                <w:rFonts w:cs="Arial"/>
                <w:b/>
                <w:bCs/>
                <w:i/>
                <w:iCs/>
                <w:color w:val="000000"/>
                <w:sz w:val="8"/>
                <w:szCs w:val="8"/>
                <w:lang w:val="en-US"/>
              </w:rPr>
            </w:pPr>
          </w:p>
        </w:tc>
      </w:tr>
      <w:tr w:rsidR="00303DF2" w:rsidRPr="00862949" w14:paraId="57987ADF" w14:textId="77777777" w:rsidTr="004D6B16">
        <w:tc>
          <w:tcPr>
            <w:tcW w:w="5000" w:type="pct"/>
            <w:gridSpan w:val="2"/>
            <w:shd w:val="clear" w:color="auto" w:fill="00B050"/>
            <w:tcMar>
              <w:top w:w="57" w:type="dxa"/>
              <w:bottom w:w="57" w:type="dxa"/>
            </w:tcMar>
          </w:tcPr>
          <w:p w14:paraId="46CA3D24" w14:textId="2A05C620" w:rsidR="00303DF2" w:rsidRPr="00433D3E" w:rsidRDefault="00303DF2" w:rsidP="004D6B16">
            <w:pPr>
              <w:rPr>
                <w:rFonts w:cs="Arial"/>
                <w:color w:val="FFFFFF"/>
                <w:sz w:val="20"/>
                <w:szCs w:val="20"/>
              </w:rPr>
            </w:pPr>
            <w:r w:rsidRPr="00433D3E">
              <w:rPr>
                <w:rFonts w:cs="Arial"/>
                <w:b/>
                <w:bCs/>
                <w:i/>
                <w:iCs/>
                <w:color w:val="FFFFFF"/>
                <w:sz w:val="22"/>
                <w:szCs w:val="20"/>
                <w:lang w:val="en-US"/>
              </w:rPr>
              <w:t>Launched in the UK (or licence change for existing products)</w:t>
            </w:r>
            <w:r>
              <w:rPr>
                <w:rFonts w:cs="Arial"/>
                <w:b/>
                <w:bCs/>
                <w:i/>
                <w:iCs/>
                <w:color w:val="FFFFFF"/>
                <w:sz w:val="22"/>
                <w:szCs w:val="20"/>
                <w:lang w:val="en-US"/>
              </w:rPr>
              <w:t xml:space="preserve"> </w:t>
            </w:r>
            <w:r w:rsidRPr="00303DF2">
              <w:rPr>
                <w:rFonts w:cs="Arial"/>
                <w:b/>
                <w:bCs/>
                <w:color w:val="FFFFFF"/>
                <w:sz w:val="16"/>
                <w:szCs w:val="14"/>
                <w:lang w:val="en-US"/>
              </w:rPr>
              <w:t>(continued)</w:t>
            </w:r>
          </w:p>
        </w:tc>
      </w:tr>
      <w:tr w:rsidR="00B77DF7" w:rsidRPr="00131D4C" w14:paraId="1C4E3EA5" w14:textId="77777777" w:rsidTr="005A08D3">
        <w:tc>
          <w:tcPr>
            <w:tcW w:w="1427" w:type="pct"/>
            <w:shd w:val="clear" w:color="auto" w:fill="auto"/>
            <w:tcMar>
              <w:top w:w="57" w:type="dxa"/>
              <w:left w:w="170" w:type="dxa"/>
              <w:bottom w:w="57" w:type="dxa"/>
              <w:right w:w="170" w:type="dxa"/>
            </w:tcMar>
          </w:tcPr>
          <w:p w14:paraId="175ED2D0" w14:textId="77777777" w:rsidR="00B77DF7" w:rsidRDefault="00B77DF7" w:rsidP="00B77DF7">
            <w:pPr>
              <w:rPr>
                <w:rFonts w:cs="Arial"/>
                <w:szCs w:val="19"/>
              </w:rPr>
            </w:pPr>
            <w:r>
              <w:rPr>
                <w:rFonts w:cs="Arial"/>
                <w:szCs w:val="19"/>
              </w:rPr>
              <w:t>Ocrelizumab (</w:t>
            </w:r>
            <w:r>
              <w:rPr>
                <w:rFonts w:cs="Arial"/>
                <w:i/>
                <w:iCs/>
                <w:szCs w:val="19"/>
              </w:rPr>
              <w:t>Ocrevus</w:t>
            </w:r>
            <w:r>
              <w:rPr>
                <w:rFonts w:cs="Arial"/>
                <w:szCs w:val="19"/>
              </w:rPr>
              <w:t>)</w:t>
            </w:r>
          </w:p>
          <w:p w14:paraId="2805EFA3" w14:textId="2BCA3A0C" w:rsidR="00B77DF7" w:rsidRDefault="00B77DF7" w:rsidP="00B77DF7">
            <w:pPr>
              <w:rPr>
                <w:rFonts w:cs="Arial"/>
                <w:szCs w:val="19"/>
              </w:rPr>
            </w:pPr>
            <w:r w:rsidRPr="00A1070C">
              <w:rPr>
                <w:rFonts w:cs="Arial"/>
                <w:sz w:val="16"/>
                <w:szCs w:val="16"/>
              </w:rPr>
              <w:t>920mg in 23mL vial</w:t>
            </w:r>
          </w:p>
        </w:tc>
        <w:tc>
          <w:tcPr>
            <w:tcW w:w="3573" w:type="pct"/>
            <w:shd w:val="clear" w:color="auto" w:fill="auto"/>
            <w:tcMar>
              <w:top w:w="57" w:type="dxa"/>
              <w:left w:w="170" w:type="dxa"/>
              <w:bottom w:w="57" w:type="dxa"/>
              <w:right w:w="170" w:type="dxa"/>
            </w:tcMar>
          </w:tcPr>
          <w:p w14:paraId="06C7066D" w14:textId="0821B8F4" w:rsidR="00B77DF7" w:rsidRPr="006C448D" w:rsidRDefault="00B77DF7" w:rsidP="00B77DF7">
            <w:pPr>
              <w:tabs>
                <w:tab w:val="center" w:pos="3152"/>
              </w:tabs>
              <w:rPr>
                <w:rFonts w:cs="Arial"/>
                <w:bCs/>
                <w:szCs w:val="19"/>
              </w:rPr>
            </w:pPr>
            <w:r>
              <w:rPr>
                <w:rFonts w:cs="Arial"/>
                <w:szCs w:val="19"/>
                <w:lang w:val="en-US"/>
              </w:rPr>
              <w:t>T</w:t>
            </w:r>
            <w:r w:rsidRPr="00A1070C">
              <w:rPr>
                <w:rFonts w:cs="Arial"/>
                <w:szCs w:val="19"/>
                <w:lang w:val="en-US"/>
              </w:rPr>
              <w:t>reatment of adults with relapsing forms of multiple sclerosis with active disease defined by</w:t>
            </w:r>
            <w:r>
              <w:rPr>
                <w:rFonts w:cs="Arial"/>
                <w:szCs w:val="19"/>
                <w:lang w:val="en-US"/>
              </w:rPr>
              <w:t xml:space="preserve"> </w:t>
            </w:r>
            <w:r w:rsidRPr="00A1070C">
              <w:rPr>
                <w:rFonts w:cs="Arial"/>
                <w:szCs w:val="19"/>
                <w:lang w:val="en-US"/>
              </w:rPr>
              <w:t>clinical or imaging features, and early primary progressive multiple sclerosis in terms of disease duration and level of disability, and with imaging features characteristic of inflammatory activity</w:t>
            </w:r>
            <w:r>
              <w:rPr>
                <w:rFonts w:cs="Arial"/>
                <w:szCs w:val="19"/>
                <w:lang w:val="en-US"/>
              </w:rPr>
              <w:t xml:space="preserve"> </w:t>
            </w:r>
            <w:r w:rsidRPr="00A1070C">
              <w:rPr>
                <w:rFonts w:cs="Arial"/>
                <w:sz w:val="16"/>
                <w:szCs w:val="16"/>
                <w:lang w:val="en-US"/>
              </w:rPr>
              <w:t>[new subcutaneous formulation]</w:t>
            </w:r>
          </w:p>
        </w:tc>
      </w:tr>
      <w:tr w:rsidR="00B77DF7" w:rsidRPr="00131D4C" w14:paraId="2EA18E70" w14:textId="77777777" w:rsidTr="005A08D3">
        <w:tc>
          <w:tcPr>
            <w:tcW w:w="1427" w:type="pct"/>
            <w:shd w:val="clear" w:color="auto" w:fill="auto"/>
            <w:tcMar>
              <w:top w:w="57" w:type="dxa"/>
              <w:left w:w="170" w:type="dxa"/>
              <w:bottom w:w="57" w:type="dxa"/>
              <w:right w:w="170" w:type="dxa"/>
            </w:tcMar>
          </w:tcPr>
          <w:p w14:paraId="749D9E19" w14:textId="77777777" w:rsidR="00B77DF7" w:rsidRDefault="00B77DF7" w:rsidP="00B77DF7">
            <w:pPr>
              <w:rPr>
                <w:rFonts w:cs="Arial"/>
                <w:szCs w:val="19"/>
              </w:rPr>
            </w:pPr>
            <w:r>
              <w:rPr>
                <w:rFonts w:cs="Arial"/>
                <w:szCs w:val="19"/>
              </w:rPr>
              <w:t>Pembrolizumab (</w:t>
            </w:r>
            <w:r>
              <w:rPr>
                <w:rFonts w:cs="Arial"/>
                <w:i/>
                <w:iCs/>
                <w:szCs w:val="19"/>
              </w:rPr>
              <w:t>Keytruda</w:t>
            </w:r>
            <w:r>
              <w:rPr>
                <w:rFonts w:cs="Arial"/>
                <w:szCs w:val="19"/>
              </w:rPr>
              <w:t>)</w:t>
            </w:r>
          </w:p>
          <w:p w14:paraId="1B92C68B" w14:textId="5DC72894" w:rsidR="00B77DF7" w:rsidRPr="00935364" w:rsidRDefault="00B77DF7" w:rsidP="00B77DF7">
            <w:pPr>
              <w:rPr>
                <w:rFonts w:cs="Arial"/>
                <w:color w:val="000000" w:themeColor="text1"/>
                <w:szCs w:val="19"/>
              </w:rPr>
            </w:pPr>
            <w:r w:rsidRPr="006C448D">
              <w:rPr>
                <w:rFonts w:cs="Arial"/>
                <w:sz w:val="16"/>
                <w:szCs w:val="16"/>
              </w:rPr>
              <w:t>100mg in 4mL vial</w:t>
            </w:r>
          </w:p>
        </w:tc>
        <w:tc>
          <w:tcPr>
            <w:tcW w:w="3573" w:type="pct"/>
            <w:shd w:val="clear" w:color="auto" w:fill="auto"/>
            <w:tcMar>
              <w:top w:w="57" w:type="dxa"/>
              <w:left w:w="170" w:type="dxa"/>
              <w:bottom w:w="57" w:type="dxa"/>
              <w:right w:w="170" w:type="dxa"/>
            </w:tcMar>
          </w:tcPr>
          <w:p w14:paraId="4E20FCC3" w14:textId="77777777" w:rsidR="00886D4E" w:rsidRDefault="00B77DF7" w:rsidP="00B77DF7">
            <w:pPr>
              <w:tabs>
                <w:tab w:val="center" w:pos="3152"/>
              </w:tabs>
              <w:rPr>
                <w:rFonts w:cs="Arial"/>
                <w:sz w:val="16"/>
                <w:szCs w:val="16"/>
                <w:lang w:val="en-US"/>
              </w:rPr>
            </w:pPr>
            <w:r w:rsidRPr="006C448D">
              <w:rPr>
                <w:rFonts w:cs="Arial"/>
                <w:bCs/>
                <w:szCs w:val="19"/>
              </w:rPr>
              <w:t xml:space="preserve">Use in combination with </w:t>
            </w:r>
            <w:proofErr w:type="spellStart"/>
            <w:r w:rsidRPr="006C448D">
              <w:rPr>
                <w:rFonts w:cs="Arial"/>
                <w:bCs/>
                <w:szCs w:val="19"/>
              </w:rPr>
              <w:t>enfortumab</w:t>
            </w:r>
            <w:proofErr w:type="spellEnd"/>
            <w:r w:rsidRPr="006C448D">
              <w:rPr>
                <w:rFonts w:cs="Arial"/>
                <w:bCs/>
                <w:szCs w:val="19"/>
              </w:rPr>
              <w:t xml:space="preserve"> </w:t>
            </w:r>
            <w:proofErr w:type="spellStart"/>
            <w:r w:rsidRPr="006C448D">
              <w:rPr>
                <w:rFonts w:cs="Arial"/>
                <w:bCs/>
                <w:szCs w:val="19"/>
              </w:rPr>
              <w:t>vedotin</w:t>
            </w:r>
            <w:proofErr w:type="spellEnd"/>
            <w:r w:rsidRPr="006C448D">
              <w:rPr>
                <w:rFonts w:cs="Arial"/>
                <w:bCs/>
                <w:szCs w:val="19"/>
              </w:rPr>
              <w:t>, for the first-line treatment of adults with unresectable or metastatic urothelial cancer who are eligible for platinum-containing chemotherapy</w:t>
            </w:r>
            <w:r>
              <w:rPr>
                <w:rFonts w:cs="Arial"/>
                <w:bCs/>
                <w:szCs w:val="19"/>
              </w:rPr>
              <w:t xml:space="preserve"> </w:t>
            </w:r>
            <w:r w:rsidRPr="00C81158">
              <w:rPr>
                <w:rFonts w:cs="Arial"/>
                <w:sz w:val="16"/>
                <w:szCs w:val="16"/>
                <w:lang w:val="en-US"/>
              </w:rPr>
              <w:t>[</w:t>
            </w:r>
            <w:r w:rsidR="00886D4E">
              <w:rPr>
                <w:rFonts w:cs="Arial"/>
                <w:sz w:val="16"/>
                <w:szCs w:val="16"/>
                <w:lang w:val="en-US"/>
              </w:rPr>
              <w:t xml:space="preserve">anticipated </w:t>
            </w:r>
            <w:r w:rsidRPr="00C81158">
              <w:rPr>
                <w:rFonts w:cs="Arial"/>
                <w:sz w:val="16"/>
                <w:szCs w:val="16"/>
                <w:lang w:val="en-US"/>
              </w:rPr>
              <w:t>new indication]</w:t>
            </w:r>
            <w:r w:rsidR="00886D4E">
              <w:rPr>
                <w:rFonts w:cs="Arial"/>
                <w:sz w:val="16"/>
                <w:szCs w:val="16"/>
                <w:lang w:val="en-US"/>
              </w:rPr>
              <w:t xml:space="preserve"> </w:t>
            </w:r>
          </w:p>
          <w:p w14:paraId="68D781F5" w14:textId="07F14642" w:rsidR="00B77DF7" w:rsidRPr="00935364" w:rsidRDefault="00886D4E" w:rsidP="00B77DF7">
            <w:pPr>
              <w:tabs>
                <w:tab w:val="center" w:pos="3152"/>
              </w:tabs>
              <w:rPr>
                <w:rFonts w:cs="Arial"/>
                <w:color w:val="000000" w:themeColor="text1"/>
                <w:szCs w:val="19"/>
                <w:lang w:val="en-US"/>
              </w:rPr>
            </w:pPr>
            <w:r>
              <w:rPr>
                <w:rFonts w:cs="Arial"/>
                <w:i/>
                <w:iCs/>
                <w:sz w:val="16"/>
                <w:szCs w:val="16"/>
                <w:lang w:val="en-US"/>
              </w:rPr>
              <w:t xml:space="preserve">Note: See </w:t>
            </w:r>
            <w:proofErr w:type="spellStart"/>
            <w:r>
              <w:rPr>
                <w:rFonts w:cs="Arial"/>
                <w:i/>
                <w:iCs/>
                <w:sz w:val="16"/>
                <w:szCs w:val="16"/>
                <w:lang w:val="en-US"/>
              </w:rPr>
              <w:t>enfortumab</w:t>
            </w:r>
            <w:proofErr w:type="spellEnd"/>
            <w:r>
              <w:rPr>
                <w:rFonts w:cs="Arial"/>
                <w:i/>
                <w:iCs/>
                <w:sz w:val="16"/>
                <w:szCs w:val="16"/>
                <w:lang w:val="en-US"/>
              </w:rPr>
              <w:t xml:space="preserve"> above – </w:t>
            </w:r>
            <w:hyperlink r:id="rId16" w:history="1">
              <w:proofErr w:type="spellStart"/>
              <w:r w:rsidRPr="00886D4E">
                <w:rPr>
                  <w:rStyle w:val="Hyperlink"/>
                  <w:rFonts w:ascii="Arial" w:hAnsi="Arial" w:cs="Arial"/>
                  <w:i/>
                  <w:iCs/>
                  <w:sz w:val="16"/>
                  <w:szCs w:val="16"/>
                  <w:lang w:val="en-US"/>
                </w:rPr>
                <w:t>Keytuda</w:t>
              </w:r>
              <w:proofErr w:type="spellEnd"/>
            </w:hyperlink>
            <w:r>
              <w:rPr>
                <w:rFonts w:cs="Arial"/>
                <w:i/>
                <w:iCs/>
                <w:sz w:val="16"/>
                <w:szCs w:val="16"/>
                <w:lang w:val="en-US"/>
              </w:rPr>
              <w:t xml:space="preserve"> SmPC has not yet been updated</w:t>
            </w:r>
          </w:p>
        </w:tc>
      </w:tr>
      <w:tr w:rsidR="00B77DF7" w:rsidRPr="00131D4C" w14:paraId="6E8ECD17" w14:textId="77777777" w:rsidTr="005A08D3">
        <w:tc>
          <w:tcPr>
            <w:tcW w:w="1427" w:type="pct"/>
            <w:shd w:val="clear" w:color="auto" w:fill="auto"/>
            <w:tcMar>
              <w:top w:w="57" w:type="dxa"/>
              <w:left w:w="170" w:type="dxa"/>
              <w:bottom w:w="57" w:type="dxa"/>
              <w:right w:w="170" w:type="dxa"/>
            </w:tcMar>
          </w:tcPr>
          <w:p w14:paraId="54C2524D" w14:textId="77777777" w:rsidR="00B77DF7" w:rsidRPr="00935364" w:rsidRDefault="00B77DF7" w:rsidP="00B77DF7">
            <w:pPr>
              <w:rPr>
                <w:color w:val="000000" w:themeColor="text1"/>
                <w:szCs w:val="19"/>
              </w:rPr>
            </w:pPr>
            <w:proofErr w:type="spellStart"/>
            <w:r w:rsidRPr="00935364">
              <w:rPr>
                <w:rFonts w:cs="Arial"/>
                <w:color w:val="000000" w:themeColor="text1"/>
                <w:szCs w:val="19"/>
              </w:rPr>
              <w:t>Quizartinib</w:t>
            </w:r>
            <w:proofErr w:type="spellEnd"/>
            <w:r w:rsidRPr="00935364">
              <w:rPr>
                <w:rFonts w:cs="Arial"/>
                <w:color w:val="000000" w:themeColor="text1"/>
                <w:szCs w:val="19"/>
              </w:rPr>
              <w:t xml:space="preserve"> (</w:t>
            </w:r>
            <w:proofErr w:type="spellStart"/>
            <w:r w:rsidRPr="00935364">
              <w:rPr>
                <w:rFonts w:cs="Arial"/>
                <w:i/>
                <w:iCs/>
                <w:color w:val="000000" w:themeColor="text1"/>
                <w:szCs w:val="19"/>
              </w:rPr>
              <w:t>Vanflyta</w:t>
            </w:r>
            <w:proofErr w:type="spellEnd"/>
            <w:r w:rsidRPr="00935364">
              <w:rPr>
                <w:rFonts w:cs="Arial"/>
                <w:color w:val="000000" w:themeColor="text1"/>
                <w:szCs w:val="19"/>
              </w:rPr>
              <w:t>)</w:t>
            </w:r>
            <w:r w:rsidRPr="00935364">
              <w:rPr>
                <w:color w:val="000000" w:themeColor="text1"/>
                <w:szCs w:val="19"/>
              </w:rPr>
              <w:t xml:space="preserve"> </w:t>
            </w:r>
          </w:p>
          <w:p w14:paraId="2EF9C9AB" w14:textId="3DDC244C" w:rsidR="00B77DF7" w:rsidRPr="00347B13" w:rsidRDefault="00B77DF7" w:rsidP="00B77DF7">
            <w:pPr>
              <w:rPr>
                <w:rFonts w:cs="Arial"/>
                <w:szCs w:val="19"/>
              </w:rPr>
            </w:pPr>
            <w:r w:rsidRPr="00C9108B">
              <w:rPr>
                <w:rFonts w:cs="Arial"/>
                <w:color w:val="000000" w:themeColor="text1"/>
                <w:sz w:val="16"/>
                <w:szCs w:val="16"/>
              </w:rPr>
              <w:t>17.7mg and 26.5mg tablets</w:t>
            </w:r>
          </w:p>
        </w:tc>
        <w:tc>
          <w:tcPr>
            <w:tcW w:w="3573" w:type="pct"/>
            <w:shd w:val="clear" w:color="auto" w:fill="auto"/>
            <w:tcMar>
              <w:top w:w="57" w:type="dxa"/>
              <w:left w:w="170" w:type="dxa"/>
              <w:bottom w:w="57" w:type="dxa"/>
              <w:right w:w="170" w:type="dxa"/>
            </w:tcMar>
          </w:tcPr>
          <w:p w14:paraId="3FBA7106" w14:textId="416946A9" w:rsidR="00B77DF7" w:rsidRDefault="00B77DF7" w:rsidP="00B77DF7">
            <w:pPr>
              <w:tabs>
                <w:tab w:val="center" w:pos="3152"/>
              </w:tabs>
              <w:rPr>
                <w:rFonts w:cs="Arial"/>
                <w:szCs w:val="19"/>
              </w:rPr>
            </w:pPr>
            <w:r w:rsidRPr="00935364">
              <w:rPr>
                <w:rFonts w:cs="Arial"/>
                <w:color w:val="000000" w:themeColor="text1"/>
                <w:szCs w:val="19"/>
                <w:lang w:val="en-US"/>
              </w:rPr>
              <w:t xml:space="preserve">Use in combination with standard cytarabine and anthracycline induction and standard cytarabine consolidation chemotherapy, followed by </w:t>
            </w:r>
            <w:proofErr w:type="spellStart"/>
            <w:r w:rsidRPr="00935364">
              <w:rPr>
                <w:rFonts w:cs="Arial"/>
                <w:i/>
                <w:iCs/>
                <w:color w:val="000000" w:themeColor="text1"/>
                <w:szCs w:val="19"/>
                <w:lang w:val="en-US"/>
              </w:rPr>
              <w:t>Vanflyta</w:t>
            </w:r>
            <w:proofErr w:type="spellEnd"/>
            <w:r w:rsidRPr="00935364">
              <w:rPr>
                <w:rFonts w:cs="Arial"/>
                <w:color w:val="000000" w:themeColor="text1"/>
                <w:szCs w:val="19"/>
                <w:lang w:val="en-US"/>
              </w:rPr>
              <w:t xml:space="preserve"> single-agent maintenance therapy for adults with newly diagnosed acute myeloid </w:t>
            </w:r>
            <w:proofErr w:type="spellStart"/>
            <w:r w:rsidRPr="00935364">
              <w:rPr>
                <w:rFonts w:cs="Arial"/>
                <w:color w:val="000000" w:themeColor="text1"/>
                <w:szCs w:val="19"/>
                <w:lang w:val="en-US"/>
              </w:rPr>
              <w:t>leukaemia</w:t>
            </w:r>
            <w:proofErr w:type="spellEnd"/>
            <w:r w:rsidRPr="00935364">
              <w:rPr>
                <w:rFonts w:cs="Arial"/>
                <w:color w:val="000000" w:themeColor="text1"/>
                <w:szCs w:val="19"/>
                <w:lang w:val="en-US"/>
              </w:rPr>
              <w:t xml:space="preserve"> that is FLT3-ITD positive</w:t>
            </w:r>
          </w:p>
        </w:tc>
      </w:tr>
      <w:tr w:rsidR="00B77DF7" w:rsidRPr="00131D4C" w14:paraId="2BC6E9DB" w14:textId="77777777" w:rsidTr="005A08D3">
        <w:tc>
          <w:tcPr>
            <w:tcW w:w="1427" w:type="pct"/>
            <w:shd w:val="clear" w:color="auto" w:fill="auto"/>
            <w:tcMar>
              <w:top w:w="57" w:type="dxa"/>
              <w:left w:w="170" w:type="dxa"/>
              <w:bottom w:w="57" w:type="dxa"/>
              <w:right w:w="170" w:type="dxa"/>
            </w:tcMar>
          </w:tcPr>
          <w:p w14:paraId="4A85EC09" w14:textId="77777777" w:rsidR="00B77DF7" w:rsidRDefault="00B77DF7" w:rsidP="00B77DF7">
            <w:pPr>
              <w:rPr>
                <w:rFonts w:cs="Arial"/>
                <w:szCs w:val="19"/>
              </w:rPr>
            </w:pPr>
            <w:r w:rsidRPr="00347B13">
              <w:rPr>
                <w:rFonts w:cs="Arial"/>
                <w:szCs w:val="19"/>
              </w:rPr>
              <w:t xml:space="preserve">Sacituzumab </w:t>
            </w:r>
            <w:proofErr w:type="spellStart"/>
            <w:r w:rsidRPr="00347B13">
              <w:rPr>
                <w:rFonts w:cs="Arial"/>
                <w:szCs w:val="19"/>
              </w:rPr>
              <w:t>govitecan</w:t>
            </w:r>
            <w:proofErr w:type="spellEnd"/>
            <w:r w:rsidRPr="00347B13">
              <w:rPr>
                <w:rFonts w:cs="Arial"/>
                <w:szCs w:val="19"/>
              </w:rPr>
              <w:t> </w:t>
            </w:r>
          </w:p>
          <w:p w14:paraId="7011163C" w14:textId="3826FB5D" w:rsidR="00B77DF7" w:rsidRDefault="00B77DF7" w:rsidP="00B77DF7">
            <w:pPr>
              <w:rPr>
                <w:rFonts w:cs="Arial"/>
                <w:szCs w:val="19"/>
              </w:rPr>
            </w:pPr>
            <w:r>
              <w:rPr>
                <w:rFonts w:cs="Arial"/>
                <w:szCs w:val="19"/>
              </w:rPr>
              <w:t>(</w:t>
            </w:r>
            <w:proofErr w:type="spellStart"/>
            <w:r>
              <w:rPr>
                <w:rFonts w:cs="Arial"/>
                <w:i/>
                <w:iCs/>
                <w:szCs w:val="19"/>
              </w:rPr>
              <w:t>Trodelvy</w:t>
            </w:r>
            <w:proofErr w:type="spellEnd"/>
            <w:r>
              <w:rPr>
                <w:rFonts w:cs="Arial"/>
                <w:szCs w:val="19"/>
              </w:rPr>
              <w:t>)</w:t>
            </w:r>
          </w:p>
          <w:p w14:paraId="56155C68" w14:textId="5A8EFDB9" w:rsidR="00B77DF7" w:rsidRDefault="00B77DF7" w:rsidP="00B77DF7">
            <w:pPr>
              <w:rPr>
                <w:rFonts w:cs="Arial"/>
                <w:szCs w:val="19"/>
              </w:rPr>
            </w:pPr>
            <w:r w:rsidRPr="00347B13">
              <w:rPr>
                <w:rFonts w:cs="Arial"/>
                <w:sz w:val="16"/>
                <w:szCs w:val="16"/>
              </w:rPr>
              <w:t>180mg vial</w:t>
            </w:r>
          </w:p>
        </w:tc>
        <w:tc>
          <w:tcPr>
            <w:tcW w:w="3573" w:type="pct"/>
            <w:shd w:val="clear" w:color="auto" w:fill="auto"/>
            <w:tcMar>
              <w:top w:w="57" w:type="dxa"/>
              <w:left w:w="170" w:type="dxa"/>
              <w:bottom w:w="57" w:type="dxa"/>
              <w:right w:w="170" w:type="dxa"/>
            </w:tcMar>
          </w:tcPr>
          <w:p w14:paraId="1D408144" w14:textId="77777777" w:rsidR="00B77DF7" w:rsidRDefault="00B77DF7" w:rsidP="00B77DF7">
            <w:pPr>
              <w:tabs>
                <w:tab w:val="center" w:pos="3152"/>
              </w:tabs>
              <w:rPr>
                <w:rFonts w:cs="Arial"/>
                <w:szCs w:val="19"/>
              </w:rPr>
            </w:pPr>
            <w:r>
              <w:rPr>
                <w:rFonts w:cs="Arial"/>
                <w:szCs w:val="19"/>
              </w:rPr>
              <w:t>Monotherapy for the t</w:t>
            </w:r>
            <w:r w:rsidRPr="00347B13">
              <w:rPr>
                <w:rFonts w:cs="Arial"/>
                <w:szCs w:val="19"/>
              </w:rPr>
              <w:t>reatment of adults with unresectable or metastatic hormone receptor-positive, HER2-negative breast cancer who have received endocrine-based therapy, and at least two additional systemic therapies in the advanced setting</w:t>
            </w:r>
            <w:r>
              <w:rPr>
                <w:rFonts w:cs="Arial"/>
                <w:szCs w:val="19"/>
              </w:rPr>
              <w:t xml:space="preserve"> </w:t>
            </w:r>
          </w:p>
          <w:p w14:paraId="0C86D5DB" w14:textId="3ACE73E2" w:rsidR="00B77DF7" w:rsidRPr="00856984" w:rsidRDefault="00B77DF7" w:rsidP="00B77DF7">
            <w:pPr>
              <w:tabs>
                <w:tab w:val="center" w:pos="3152"/>
              </w:tabs>
              <w:rPr>
                <w:rFonts w:cs="Arial"/>
                <w:szCs w:val="19"/>
                <w:lang w:val="en-US"/>
              </w:rPr>
            </w:pPr>
            <w:r w:rsidRPr="00347B13">
              <w:rPr>
                <w:rFonts w:cs="Arial"/>
                <w:sz w:val="16"/>
                <w:szCs w:val="16"/>
              </w:rPr>
              <w:t>[new indication]</w:t>
            </w:r>
          </w:p>
        </w:tc>
      </w:tr>
      <w:tr w:rsidR="00B77DF7" w:rsidRPr="00131D4C" w14:paraId="4265BC1E" w14:textId="77777777" w:rsidTr="005A08D3">
        <w:tc>
          <w:tcPr>
            <w:tcW w:w="1427" w:type="pct"/>
            <w:shd w:val="clear" w:color="auto" w:fill="auto"/>
            <w:tcMar>
              <w:top w:w="57" w:type="dxa"/>
              <w:left w:w="170" w:type="dxa"/>
              <w:bottom w:w="57" w:type="dxa"/>
              <w:right w:w="170" w:type="dxa"/>
            </w:tcMar>
          </w:tcPr>
          <w:p w14:paraId="09065259" w14:textId="6C7DAC19" w:rsidR="00B77DF7" w:rsidRDefault="00B77DF7" w:rsidP="00B77DF7">
            <w:pPr>
              <w:rPr>
                <w:rFonts w:cs="Arial"/>
                <w:szCs w:val="19"/>
              </w:rPr>
            </w:pPr>
            <w:r w:rsidRPr="002E4C8F">
              <w:rPr>
                <w:rFonts w:cs="Arial"/>
                <w:szCs w:val="19"/>
              </w:rPr>
              <w:t xml:space="preserve">Sofosbuvir + velpatasvir + voxilaprevir </w:t>
            </w:r>
            <w:r>
              <w:rPr>
                <w:rFonts w:cs="Arial"/>
                <w:szCs w:val="19"/>
              </w:rPr>
              <w:t>(</w:t>
            </w:r>
            <w:r w:rsidRPr="002E4C8F">
              <w:rPr>
                <w:rFonts w:cs="Arial"/>
                <w:i/>
                <w:iCs/>
                <w:szCs w:val="19"/>
              </w:rPr>
              <w:t>Vosevi</w:t>
            </w:r>
            <w:r>
              <w:rPr>
                <w:rFonts w:cs="Arial"/>
                <w:szCs w:val="19"/>
              </w:rPr>
              <w:t>)</w:t>
            </w:r>
            <w:r w:rsidRPr="002E4C8F">
              <w:rPr>
                <w:rFonts w:cs="Arial"/>
                <w:szCs w:val="19"/>
              </w:rPr>
              <w:t xml:space="preserve"> </w:t>
            </w:r>
            <w:r w:rsidRPr="002E4C8F">
              <w:rPr>
                <w:rFonts w:cs="Arial"/>
                <w:sz w:val="16"/>
                <w:szCs w:val="16"/>
              </w:rPr>
              <w:t>200mg/50mg/50mg tablet</w:t>
            </w:r>
          </w:p>
        </w:tc>
        <w:tc>
          <w:tcPr>
            <w:tcW w:w="3573" w:type="pct"/>
            <w:shd w:val="clear" w:color="auto" w:fill="auto"/>
            <w:tcMar>
              <w:top w:w="57" w:type="dxa"/>
              <w:left w:w="170" w:type="dxa"/>
              <w:bottom w:w="57" w:type="dxa"/>
              <w:right w:w="170" w:type="dxa"/>
            </w:tcMar>
          </w:tcPr>
          <w:p w14:paraId="5291E75D" w14:textId="2C40300C" w:rsidR="00B77DF7" w:rsidRPr="00856984" w:rsidRDefault="00B77DF7" w:rsidP="00B77DF7">
            <w:pPr>
              <w:tabs>
                <w:tab w:val="center" w:pos="3152"/>
              </w:tabs>
              <w:rPr>
                <w:rFonts w:cs="Arial"/>
                <w:szCs w:val="19"/>
                <w:lang w:val="en-US"/>
              </w:rPr>
            </w:pPr>
            <w:r>
              <w:rPr>
                <w:rFonts w:cs="Arial"/>
                <w:szCs w:val="19"/>
                <w:lang w:val="en-US"/>
              </w:rPr>
              <w:t>Treatment</w:t>
            </w:r>
            <w:r w:rsidRPr="002E4C8F">
              <w:rPr>
                <w:rFonts w:cs="Arial"/>
                <w:szCs w:val="19"/>
                <w:lang w:val="en-US"/>
              </w:rPr>
              <w:t xml:space="preserve"> of chronic hepatitis C virus infection in patients aged </w:t>
            </w:r>
            <w:r>
              <w:rPr>
                <w:rFonts w:cs="Arial"/>
                <w:szCs w:val="19"/>
                <w:lang w:val="en-US"/>
              </w:rPr>
              <w:t>≥</w:t>
            </w:r>
            <w:r w:rsidRPr="002E4C8F">
              <w:rPr>
                <w:rFonts w:cs="Arial"/>
                <w:szCs w:val="19"/>
                <w:lang w:val="en-US"/>
              </w:rPr>
              <w:t>12</w:t>
            </w:r>
            <w:r>
              <w:rPr>
                <w:rFonts w:cs="Arial"/>
                <w:szCs w:val="19"/>
                <w:lang w:val="en-US"/>
              </w:rPr>
              <w:t xml:space="preserve"> y</w:t>
            </w:r>
            <w:r w:rsidRPr="002E4C8F">
              <w:rPr>
                <w:rFonts w:cs="Arial"/>
                <w:szCs w:val="19"/>
                <w:lang w:val="en-US"/>
              </w:rPr>
              <w:t xml:space="preserve">ears and weighing </w:t>
            </w:r>
            <w:r>
              <w:rPr>
                <w:rFonts w:cs="Arial"/>
                <w:szCs w:val="19"/>
                <w:lang w:val="en-US"/>
              </w:rPr>
              <w:t>≥</w:t>
            </w:r>
            <w:r w:rsidRPr="002E4C8F">
              <w:rPr>
                <w:rFonts w:cs="Arial"/>
                <w:szCs w:val="19"/>
                <w:lang w:val="en-US"/>
              </w:rPr>
              <w:t>30kg</w:t>
            </w:r>
            <w:r>
              <w:rPr>
                <w:rFonts w:cs="Arial"/>
                <w:szCs w:val="19"/>
                <w:lang w:val="en-US"/>
              </w:rPr>
              <w:t xml:space="preserve"> </w:t>
            </w:r>
            <w:r w:rsidRPr="002E4C8F">
              <w:rPr>
                <w:rFonts w:cs="Arial"/>
                <w:sz w:val="16"/>
                <w:szCs w:val="16"/>
                <w:lang w:val="en-US"/>
              </w:rPr>
              <w:t>[new lower strength formulation]</w:t>
            </w:r>
          </w:p>
        </w:tc>
      </w:tr>
      <w:tr w:rsidR="00B77DF7" w:rsidRPr="00131D4C" w14:paraId="3680ABD9" w14:textId="77777777" w:rsidTr="005A08D3">
        <w:tc>
          <w:tcPr>
            <w:tcW w:w="1427" w:type="pct"/>
            <w:shd w:val="clear" w:color="auto" w:fill="auto"/>
            <w:tcMar>
              <w:top w:w="57" w:type="dxa"/>
              <w:left w:w="170" w:type="dxa"/>
              <w:bottom w:w="57" w:type="dxa"/>
              <w:right w:w="170" w:type="dxa"/>
            </w:tcMar>
          </w:tcPr>
          <w:p w14:paraId="44F18136" w14:textId="77777777" w:rsidR="00B77DF7" w:rsidRDefault="00B77DF7" w:rsidP="00B77DF7">
            <w:pPr>
              <w:rPr>
                <w:rFonts w:cs="Arial"/>
                <w:szCs w:val="19"/>
              </w:rPr>
            </w:pPr>
            <w:r>
              <w:rPr>
                <w:rFonts w:cs="Arial"/>
                <w:szCs w:val="19"/>
              </w:rPr>
              <w:t>Somapacitan (</w:t>
            </w:r>
            <w:r>
              <w:rPr>
                <w:rFonts w:cs="Arial"/>
                <w:i/>
                <w:iCs/>
                <w:szCs w:val="19"/>
              </w:rPr>
              <w:t>Sogroya</w:t>
            </w:r>
            <w:r>
              <w:rPr>
                <w:rFonts w:cs="Arial"/>
                <w:szCs w:val="19"/>
              </w:rPr>
              <w:t>)</w:t>
            </w:r>
          </w:p>
          <w:p w14:paraId="04964605" w14:textId="7FF6DD97" w:rsidR="00B77DF7" w:rsidRDefault="00B77DF7" w:rsidP="00B77DF7">
            <w:pPr>
              <w:rPr>
                <w:rFonts w:cs="Arial"/>
                <w:szCs w:val="19"/>
              </w:rPr>
            </w:pPr>
            <w:r w:rsidRPr="00856984">
              <w:rPr>
                <w:rFonts w:cs="Arial"/>
                <w:sz w:val="16"/>
                <w:szCs w:val="16"/>
              </w:rPr>
              <w:t>10mg in 1.5mL and 15mg in 1.5mL prefilled pens</w:t>
            </w:r>
          </w:p>
        </w:tc>
        <w:tc>
          <w:tcPr>
            <w:tcW w:w="3573" w:type="pct"/>
            <w:shd w:val="clear" w:color="auto" w:fill="auto"/>
            <w:tcMar>
              <w:top w:w="57" w:type="dxa"/>
              <w:left w:w="170" w:type="dxa"/>
              <w:bottom w:w="57" w:type="dxa"/>
              <w:right w:w="170" w:type="dxa"/>
            </w:tcMar>
          </w:tcPr>
          <w:p w14:paraId="1408F3E1" w14:textId="2875C406" w:rsidR="00B77DF7" w:rsidRPr="009B0FD7" w:rsidRDefault="00B77DF7" w:rsidP="00B77DF7">
            <w:pPr>
              <w:tabs>
                <w:tab w:val="center" w:pos="3152"/>
              </w:tabs>
              <w:rPr>
                <w:rFonts w:cs="Arial"/>
                <w:szCs w:val="19"/>
                <w:lang w:val="en-US"/>
              </w:rPr>
            </w:pPr>
            <w:r w:rsidRPr="00856984">
              <w:rPr>
                <w:rFonts w:cs="Arial"/>
                <w:szCs w:val="19"/>
                <w:lang w:val="en-US"/>
              </w:rPr>
              <w:t xml:space="preserve">Replacement of endogenous growth hormone (GH) in children aged </w:t>
            </w:r>
            <w:r>
              <w:rPr>
                <w:rFonts w:cs="Arial"/>
                <w:szCs w:val="19"/>
                <w:lang w:val="en-US"/>
              </w:rPr>
              <w:t>≥</w:t>
            </w:r>
            <w:r w:rsidRPr="00856984">
              <w:rPr>
                <w:rFonts w:cs="Arial"/>
                <w:szCs w:val="19"/>
                <w:lang w:val="en-US"/>
              </w:rPr>
              <w:t xml:space="preserve">3 years, and adolescents with growth failure due to </w:t>
            </w:r>
            <w:r>
              <w:rPr>
                <w:rFonts w:cs="Arial"/>
                <w:szCs w:val="19"/>
                <w:lang w:val="en-US"/>
              </w:rPr>
              <w:t>GH</w:t>
            </w:r>
            <w:r w:rsidRPr="00856984">
              <w:rPr>
                <w:rFonts w:cs="Arial"/>
                <w:szCs w:val="19"/>
                <w:lang w:val="en-US"/>
              </w:rPr>
              <w:t xml:space="preserve"> deficiency (paediatric GHD), and in adults with </w:t>
            </w:r>
            <w:r w:rsidR="009C0077">
              <w:rPr>
                <w:rFonts w:cs="Arial"/>
                <w:szCs w:val="19"/>
                <w:lang w:val="en-US"/>
              </w:rPr>
              <w:t xml:space="preserve">growth hormone deficiency (adult </w:t>
            </w:r>
            <w:r>
              <w:rPr>
                <w:rFonts w:cs="Arial"/>
                <w:szCs w:val="19"/>
                <w:lang w:val="en-US"/>
              </w:rPr>
              <w:t>GHD</w:t>
            </w:r>
            <w:r w:rsidR="009C0077">
              <w:rPr>
                <w:rFonts w:cs="Arial"/>
                <w:szCs w:val="19"/>
                <w:lang w:val="en-US"/>
              </w:rPr>
              <w:t>)</w:t>
            </w:r>
          </w:p>
        </w:tc>
      </w:tr>
      <w:tr w:rsidR="00B77DF7" w:rsidRPr="00131D4C" w14:paraId="5DCF13A1" w14:textId="77777777" w:rsidTr="005A08D3">
        <w:tc>
          <w:tcPr>
            <w:tcW w:w="1427" w:type="pct"/>
            <w:shd w:val="clear" w:color="auto" w:fill="auto"/>
            <w:tcMar>
              <w:top w:w="57" w:type="dxa"/>
              <w:left w:w="170" w:type="dxa"/>
              <w:bottom w:w="57" w:type="dxa"/>
              <w:right w:w="170" w:type="dxa"/>
            </w:tcMar>
          </w:tcPr>
          <w:p w14:paraId="3FD1A09D" w14:textId="77777777" w:rsidR="00B77DF7" w:rsidRDefault="00B77DF7" w:rsidP="00B77DF7">
            <w:pPr>
              <w:rPr>
                <w:rFonts w:cs="Arial"/>
                <w:szCs w:val="19"/>
              </w:rPr>
            </w:pPr>
            <w:r>
              <w:rPr>
                <w:rFonts w:cs="Arial"/>
                <w:szCs w:val="19"/>
              </w:rPr>
              <w:t>Ustekinumab biosimilar (</w:t>
            </w:r>
            <w:r>
              <w:rPr>
                <w:rFonts w:cs="Arial"/>
                <w:i/>
                <w:iCs/>
                <w:szCs w:val="19"/>
              </w:rPr>
              <w:t>Uzpruvo</w:t>
            </w:r>
            <w:r>
              <w:rPr>
                <w:rFonts w:cs="Arial"/>
                <w:szCs w:val="19"/>
              </w:rPr>
              <w:t xml:space="preserve">) </w:t>
            </w:r>
          </w:p>
          <w:p w14:paraId="043CF8FD" w14:textId="6B70F848" w:rsidR="00B77DF7" w:rsidRDefault="00B77DF7" w:rsidP="00B77DF7">
            <w:pPr>
              <w:rPr>
                <w:rFonts w:cs="Arial"/>
                <w:szCs w:val="19"/>
              </w:rPr>
            </w:pPr>
            <w:r>
              <w:rPr>
                <w:rFonts w:cs="Arial"/>
                <w:sz w:val="16"/>
                <w:szCs w:val="16"/>
              </w:rPr>
              <w:t>45mg in 0.5mL and 90mg in 1mL prefilled syringes</w:t>
            </w:r>
          </w:p>
        </w:tc>
        <w:tc>
          <w:tcPr>
            <w:tcW w:w="3573" w:type="pct"/>
            <w:shd w:val="clear" w:color="auto" w:fill="auto"/>
            <w:tcMar>
              <w:top w:w="57" w:type="dxa"/>
              <w:left w:w="170" w:type="dxa"/>
              <w:bottom w:w="57" w:type="dxa"/>
              <w:right w:w="170" w:type="dxa"/>
            </w:tcMar>
          </w:tcPr>
          <w:p w14:paraId="3228AF05" w14:textId="1311165E" w:rsidR="00B77DF7" w:rsidRDefault="00B77DF7" w:rsidP="00B77DF7">
            <w:pPr>
              <w:tabs>
                <w:tab w:val="center" w:pos="3152"/>
              </w:tabs>
              <w:rPr>
                <w:rFonts w:cs="Arial"/>
                <w:szCs w:val="19"/>
                <w:lang w:val="en-US"/>
              </w:rPr>
            </w:pPr>
            <w:r w:rsidRPr="009B0FD7">
              <w:rPr>
                <w:rFonts w:cs="Arial"/>
                <w:szCs w:val="19"/>
                <w:lang w:val="en-US"/>
              </w:rPr>
              <w:t>Treatment of adults with moderately to severely active ulcerative colitis who have had an inadequate response with, lost response to, or were intolerant to either conventional therapy or a biologic or have medical contraindications to such therapies</w:t>
            </w:r>
            <w:r>
              <w:rPr>
                <w:rFonts w:cs="Arial"/>
                <w:szCs w:val="19"/>
                <w:lang w:val="en-US"/>
              </w:rPr>
              <w:t xml:space="preserve"> </w:t>
            </w:r>
            <w:r w:rsidRPr="00884FE6">
              <w:rPr>
                <w:rFonts w:cs="Arial"/>
                <w:sz w:val="16"/>
                <w:szCs w:val="16"/>
                <w:lang w:val="en-US"/>
              </w:rPr>
              <w:t>[new indication]</w:t>
            </w:r>
          </w:p>
        </w:tc>
      </w:tr>
      <w:tr w:rsidR="00B77DF7" w:rsidRPr="00131D4C" w14:paraId="5882FE19" w14:textId="77777777" w:rsidTr="005A08D3">
        <w:tc>
          <w:tcPr>
            <w:tcW w:w="1427" w:type="pct"/>
            <w:shd w:val="clear" w:color="auto" w:fill="auto"/>
            <w:tcMar>
              <w:top w:w="57" w:type="dxa"/>
              <w:left w:w="170" w:type="dxa"/>
              <w:bottom w:w="57" w:type="dxa"/>
              <w:right w:w="170" w:type="dxa"/>
            </w:tcMar>
          </w:tcPr>
          <w:p w14:paraId="28E2C60D" w14:textId="77777777" w:rsidR="00B77DF7" w:rsidRDefault="00B77DF7" w:rsidP="00B77DF7">
            <w:pPr>
              <w:rPr>
                <w:rFonts w:cs="Arial"/>
                <w:szCs w:val="19"/>
              </w:rPr>
            </w:pPr>
            <w:proofErr w:type="spellStart"/>
            <w:r>
              <w:rPr>
                <w:rFonts w:cs="Arial"/>
                <w:szCs w:val="19"/>
              </w:rPr>
              <w:t>Vibegron</w:t>
            </w:r>
            <w:proofErr w:type="spellEnd"/>
            <w:r>
              <w:rPr>
                <w:rFonts w:cs="Arial"/>
                <w:szCs w:val="19"/>
              </w:rPr>
              <w:t xml:space="preserve"> (</w:t>
            </w:r>
            <w:proofErr w:type="spellStart"/>
            <w:r>
              <w:rPr>
                <w:rFonts w:cs="Arial"/>
                <w:i/>
                <w:iCs/>
                <w:szCs w:val="19"/>
              </w:rPr>
              <w:t>Obgemsa</w:t>
            </w:r>
            <w:proofErr w:type="spellEnd"/>
            <w:r>
              <w:rPr>
                <w:rFonts w:cs="Arial"/>
                <w:szCs w:val="19"/>
              </w:rPr>
              <w:t>)</w:t>
            </w:r>
          </w:p>
          <w:p w14:paraId="3B8EDCE5" w14:textId="1ED4BA6A" w:rsidR="00B77DF7" w:rsidRPr="00C81158" w:rsidRDefault="00B77DF7" w:rsidP="00B77DF7">
            <w:pPr>
              <w:rPr>
                <w:rFonts w:cs="Arial"/>
                <w:szCs w:val="19"/>
              </w:rPr>
            </w:pPr>
            <w:r w:rsidRPr="00796BAC">
              <w:rPr>
                <w:rFonts w:cs="Arial"/>
                <w:sz w:val="16"/>
                <w:szCs w:val="16"/>
              </w:rPr>
              <w:t>75mg tablet</w:t>
            </w:r>
          </w:p>
        </w:tc>
        <w:tc>
          <w:tcPr>
            <w:tcW w:w="3573" w:type="pct"/>
            <w:shd w:val="clear" w:color="auto" w:fill="auto"/>
            <w:tcMar>
              <w:top w:w="57" w:type="dxa"/>
              <w:left w:w="170" w:type="dxa"/>
              <w:bottom w:w="57" w:type="dxa"/>
              <w:right w:w="170" w:type="dxa"/>
            </w:tcMar>
          </w:tcPr>
          <w:p w14:paraId="72BD0558" w14:textId="6200383E" w:rsidR="00B77DF7" w:rsidRPr="00A075A3" w:rsidRDefault="00B77DF7" w:rsidP="00B77DF7">
            <w:pPr>
              <w:tabs>
                <w:tab w:val="center" w:pos="3152"/>
              </w:tabs>
              <w:rPr>
                <w:rFonts w:cs="Arial"/>
                <w:szCs w:val="19"/>
                <w:lang w:val="en-US"/>
              </w:rPr>
            </w:pPr>
            <w:r>
              <w:rPr>
                <w:rFonts w:cs="Arial"/>
                <w:szCs w:val="19"/>
                <w:lang w:val="en-US"/>
              </w:rPr>
              <w:t>S</w:t>
            </w:r>
            <w:r w:rsidRPr="00796BAC">
              <w:rPr>
                <w:rFonts w:cs="Arial"/>
                <w:szCs w:val="19"/>
                <w:lang w:val="en-US"/>
              </w:rPr>
              <w:t>ymptomatic treatment of adults with overactive</w:t>
            </w:r>
            <w:r>
              <w:rPr>
                <w:rFonts w:cs="Arial"/>
                <w:szCs w:val="19"/>
                <w:lang w:val="en-US"/>
              </w:rPr>
              <w:t xml:space="preserve"> </w:t>
            </w:r>
            <w:r w:rsidRPr="00796BAC">
              <w:rPr>
                <w:rFonts w:cs="Arial"/>
                <w:szCs w:val="19"/>
                <w:lang w:val="en-US"/>
              </w:rPr>
              <w:t>bladder syndrome</w:t>
            </w:r>
          </w:p>
        </w:tc>
      </w:tr>
      <w:tr w:rsidR="00B77DF7" w:rsidRPr="00131D4C" w14:paraId="6B1719E5" w14:textId="77777777" w:rsidTr="005A08D3">
        <w:tc>
          <w:tcPr>
            <w:tcW w:w="1427" w:type="pct"/>
            <w:shd w:val="clear" w:color="auto" w:fill="auto"/>
            <w:tcMar>
              <w:top w:w="57" w:type="dxa"/>
              <w:left w:w="170" w:type="dxa"/>
              <w:bottom w:w="57" w:type="dxa"/>
              <w:right w:w="170" w:type="dxa"/>
            </w:tcMar>
          </w:tcPr>
          <w:p w14:paraId="3D7A8428" w14:textId="77777777" w:rsidR="00B77DF7" w:rsidRDefault="00B77DF7" w:rsidP="00B77DF7">
            <w:pPr>
              <w:rPr>
                <w:rFonts w:cs="Arial"/>
                <w:szCs w:val="19"/>
              </w:rPr>
            </w:pPr>
            <w:r w:rsidRPr="009A5310">
              <w:rPr>
                <w:rFonts w:cs="Arial"/>
                <w:szCs w:val="19"/>
              </w:rPr>
              <w:t>von Willebrand factor</w:t>
            </w:r>
            <w:r>
              <w:rPr>
                <w:rFonts w:cs="Arial"/>
                <w:szCs w:val="19"/>
              </w:rPr>
              <w:t xml:space="preserve"> (</w:t>
            </w:r>
            <w:proofErr w:type="spellStart"/>
            <w:r>
              <w:rPr>
                <w:rFonts w:cs="Arial"/>
                <w:i/>
                <w:iCs/>
                <w:szCs w:val="19"/>
              </w:rPr>
              <w:t>Willfact</w:t>
            </w:r>
            <w:proofErr w:type="spellEnd"/>
            <w:r>
              <w:rPr>
                <w:rFonts w:cs="Arial"/>
                <w:szCs w:val="19"/>
              </w:rPr>
              <w:t>)</w:t>
            </w:r>
          </w:p>
          <w:p w14:paraId="1F20BEA6" w14:textId="202CC002" w:rsidR="00B77DF7" w:rsidRPr="00A075A3" w:rsidRDefault="00B77DF7" w:rsidP="00B77DF7">
            <w:pPr>
              <w:rPr>
                <w:rFonts w:cs="Arial"/>
                <w:szCs w:val="19"/>
              </w:rPr>
            </w:pPr>
            <w:r w:rsidRPr="009A5310">
              <w:rPr>
                <w:rFonts w:cs="Arial"/>
                <w:sz w:val="16"/>
                <w:szCs w:val="16"/>
              </w:rPr>
              <w:t>500units in 5mL, 1,000units in 10mL and 2,000units in 20mL vials</w:t>
            </w:r>
          </w:p>
        </w:tc>
        <w:tc>
          <w:tcPr>
            <w:tcW w:w="3573" w:type="pct"/>
            <w:shd w:val="clear" w:color="auto" w:fill="auto"/>
            <w:tcMar>
              <w:top w:w="57" w:type="dxa"/>
              <w:left w:w="170" w:type="dxa"/>
              <w:bottom w:w="57" w:type="dxa"/>
              <w:right w:w="170" w:type="dxa"/>
            </w:tcMar>
          </w:tcPr>
          <w:p w14:paraId="463E9CED" w14:textId="6FCEDF85" w:rsidR="00B77DF7" w:rsidRPr="004C3F18" w:rsidRDefault="00B77DF7" w:rsidP="00B77DF7">
            <w:pPr>
              <w:tabs>
                <w:tab w:val="center" w:pos="3152"/>
              </w:tabs>
              <w:rPr>
                <w:rFonts w:cs="Arial"/>
                <w:color w:val="000000"/>
                <w:szCs w:val="19"/>
                <w:lang w:val="en-US"/>
              </w:rPr>
            </w:pPr>
            <w:r w:rsidRPr="009A5310">
              <w:rPr>
                <w:rFonts w:cs="Arial"/>
                <w:szCs w:val="19"/>
                <w:lang w:val="en-US"/>
              </w:rPr>
              <w:t xml:space="preserve">Prevention and treatment of </w:t>
            </w:r>
            <w:proofErr w:type="spellStart"/>
            <w:r w:rsidRPr="009A5310">
              <w:rPr>
                <w:rFonts w:cs="Arial"/>
                <w:szCs w:val="19"/>
                <w:lang w:val="en-US"/>
              </w:rPr>
              <w:t>haemorrhage</w:t>
            </w:r>
            <w:proofErr w:type="spellEnd"/>
            <w:r w:rsidRPr="009A5310">
              <w:rPr>
                <w:rFonts w:cs="Arial"/>
                <w:szCs w:val="19"/>
                <w:lang w:val="en-US"/>
              </w:rPr>
              <w:t xml:space="preserve"> or surgical bleeding in patients with von Willebrand disease when desmopressin treatment alone is ineffective or contra-indicated</w:t>
            </w:r>
            <w:r>
              <w:rPr>
                <w:rFonts w:cs="Arial"/>
                <w:szCs w:val="19"/>
                <w:lang w:val="en-US"/>
              </w:rPr>
              <w:t>, in a</w:t>
            </w:r>
            <w:r w:rsidRPr="009A5310">
              <w:rPr>
                <w:rFonts w:cs="Arial"/>
                <w:szCs w:val="19"/>
                <w:lang w:val="en-US"/>
              </w:rPr>
              <w:t>ll age groups</w:t>
            </w:r>
            <w:r>
              <w:rPr>
                <w:rFonts w:cs="Arial"/>
                <w:szCs w:val="19"/>
                <w:lang w:val="en-US"/>
              </w:rPr>
              <w:t xml:space="preserve"> </w:t>
            </w:r>
            <w:r w:rsidRPr="009A5310">
              <w:rPr>
                <w:rFonts w:cs="Arial"/>
                <w:sz w:val="16"/>
                <w:szCs w:val="16"/>
                <w:lang w:val="en-US"/>
              </w:rPr>
              <w:t>[licence change from use only in people aged ≥12 years]</w:t>
            </w:r>
          </w:p>
        </w:tc>
      </w:tr>
      <w:tr w:rsidR="00B77DF7" w:rsidRPr="00862949" w14:paraId="7BBB209F" w14:textId="77777777" w:rsidTr="004D6B16">
        <w:tc>
          <w:tcPr>
            <w:tcW w:w="5000" w:type="pct"/>
            <w:gridSpan w:val="2"/>
            <w:shd w:val="clear" w:color="auto" w:fill="auto"/>
            <w:tcMar>
              <w:top w:w="0" w:type="dxa"/>
              <w:bottom w:w="0" w:type="dxa"/>
            </w:tcMar>
          </w:tcPr>
          <w:p w14:paraId="206FCA93" w14:textId="77777777" w:rsidR="00B77DF7" w:rsidRPr="00862949" w:rsidRDefault="00B77DF7" w:rsidP="00B77DF7">
            <w:pPr>
              <w:rPr>
                <w:rFonts w:cs="Arial"/>
                <w:b/>
                <w:noProof/>
                <w:sz w:val="8"/>
                <w:szCs w:val="8"/>
              </w:rPr>
            </w:pPr>
          </w:p>
        </w:tc>
      </w:tr>
      <w:tr w:rsidR="00B77DF7" w:rsidRPr="00862949" w14:paraId="1AB00512" w14:textId="77777777" w:rsidTr="004D6B16">
        <w:tc>
          <w:tcPr>
            <w:tcW w:w="5000" w:type="pct"/>
            <w:gridSpan w:val="2"/>
            <w:shd w:val="clear" w:color="auto" w:fill="DAEEF3"/>
            <w:tcMar>
              <w:top w:w="0" w:type="dxa"/>
              <w:bottom w:w="0" w:type="dxa"/>
            </w:tcMar>
          </w:tcPr>
          <w:p w14:paraId="54DF6EF1" w14:textId="77777777" w:rsidR="00B77DF7" w:rsidRPr="00862949" w:rsidRDefault="00B77DF7" w:rsidP="00B77DF7">
            <w:pPr>
              <w:rPr>
                <w:rFonts w:cs="Arial"/>
                <w:b/>
                <w:i/>
                <w:noProof/>
                <w:sz w:val="8"/>
                <w:szCs w:val="8"/>
              </w:rPr>
            </w:pPr>
          </w:p>
        </w:tc>
      </w:tr>
    </w:tbl>
    <w:p w14:paraId="141337A4" w14:textId="77777777" w:rsidR="00303DF2" w:rsidRDefault="00303DF2" w:rsidP="00EB3E6F">
      <w:pPr>
        <w:tabs>
          <w:tab w:val="left" w:pos="2087"/>
        </w:tabs>
      </w:pPr>
    </w:p>
    <w:p w14:paraId="4B63B42A" w14:textId="77777777" w:rsidR="005A08D3" w:rsidRDefault="005A08D3" w:rsidP="00EB3E6F">
      <w:pPr>
        <w:tabs>
          <w:tab w:val="left" w:pos="2087"/>
        </w:tabs>
      </w:pPr>
    </w:p>
    <w:tbl>
      <w:tblPr>
        <w:tblW w:w="5170" w:type="pct"/>
        <w:tblInd w:w="-176" w:type="dxa"/>
        <w:tblLayout w:type="fixed"/>
        <w:tblLook w:val="01E0" w:firstRow="1" w:lastRow="1" w:firstColumn="1" w:lastColumn="1" w:noHBand="0" w:noVBand="0"/>
      </w:tblPr>
      <w:tblGrid>
        <w:gridCol w:w="2870"/>
        <w:gridCol w:w="7681"/>
      </w:tblGrid>
      <w:tr w:rsidR="005A7E09" w:rsidRPr="00862949" w14:paraId="798AB532" w14:textId="77777777" w:rsidTr="005A7E09">
        <w:tc>
          <w:tcPr>
            <w:tcW w:w="5000" w:type="pct"/>
            <w:gridSpan w:val="2"/>
            <w:shd w:val="clear" w:color="auto" w:fill="0070C0"/>
            <w:tcMar>
              <w:top w:w="85" w:type="dxa"/>
              <w:bottom w:w="85" w:type="dxa"/>
            </w:tcMar>
            <w:vAlign w:val="bottom"/>
          </w:tcPr>
          <w:p w14:paraId="23DD3D70" w14:textId="77777777" w:rsidR="005A7E09" w:rsidRPr="00862949" w:rsidRDefault="005A7E09" w:rsidP="005A7E09">
            <w:pPr>
              <w:rPr>
                <w:rFonts w:cs="Arial"/>
                <w:color w:val="FFFFFF"/>
                <w:sz w:val="15"/>
                <w:szCs w:val="15"/>
              </w:rPr>
            </w:pPr>
            <w:r w:rsidRPr="00862949">
              <w:rPr>
                <w:rFonts w:cs="Arial"/>
                <w:b/>
                <w:bCs/>
                <w:iCs/>
                <w:color w:val="FFFFFF"/>
                <w:sz w:val="28"/>
                <w:szCs w:val="28"/>
                <w:lang w:val="en-US"/>
              </w:rPr>
              <w:t xml:space="preserve">Regulatory changes in the </w:t>
            </w:r>
            <w:r w:rsidR="00AA1F49">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5A7E09" w:rsidRPr="00862949" w14:paraId="5AD2C173" w14:textId="77777777" w:rsidTr="005A7E09">
        <w:tc>
          <w:tcPr>
            <w:tcW w:w="5000" w:type="pct"/>
            <w:gridSpan w:val="2"/>
            <w:shd w:val="clear" w:color="auto" w:fill="DAEEF3"/>
            <w:tcMar>
              <w:top w:w="0" w:type="dxa"/>
              <w:bottom w:w="0" w:type="dxa"/>
            </w:tcMar>
          </w:tcPr>
          <w:p w14:paraId="59563241" w14:textId="77777777" w:rsidR="005A7E09" w:rsidRPr="00862949" w:rsidRDefault="005A7E09" w:rsidP="005A7E09">
            <w:pPr>
              <w:rPr>
                <w:rFonts w:cs="Arial"/>
                <w:b/>
                <w:bCs/>
                <w:i/>
                <w:iCs/>
                <w:color w:val="000000"/>
                <w:sz w:val="8"/>
                <w:szCs w:val="8"/>
                <w:lang w:val="en-US"/>
              </w:rPr>
            </w:pPr>
          </w:p>
        </w:tc>
      </w:tr>
      <w:tr w:rsidR="005A7E09" w:rsidRPr="00862949" w14:paraId="57AD14F3" w14:textId="77777777" w:rsidTr="005A7E09">
        <w:tc>
          <w:tcPr>
            <w:tcW w:w="5000" w:type="pct"/>
            <w:gridSpan w:val="2"/>
            <w:shd w:val="clear" w:color="auto" w:fill="00B050"/>
            <w:tcMar>
              <w:top w:w="57" w:type="dxa"/>
              <w:bottom w:w="57" w:type="dxa"/>
            </w:tcMar>
          </w:tcPr>
          <w:p w14:paraId="625450D0" w14:textId="77777777" w:rsidR="005A7E09" w:rsidRPr="00433D3E" w:rsidRDefault="005A7E09" w:rsidP="00EB3E6F">
            <w:pPr>
              <w:rPr>
                <w:rFonts w:cs="Arial"/>
                <w:color w:val="FFFFFF"/>
                <w:sz w:val="20"/>
                <w:szCs w:val="20"/>
              </w:rPr>
            </w:pPr>
            <w:r w:rsidRPr="00433D3E">
              <w:rPr>
                <w:rFonts w:cs="Arial"/>
                <w:b/>
                <w:bCs/>
                <w:i/>
                <w:iCs/>
                <w:color w:val="FFFFFF"/>
                <w:sz w:val="22"/>
                <w:szCs w:val="20"/>
                <w:lang w:val="en-US"/>
              </w:rPr>
              <w:t xml:space="preserve">Approved in the </w:t>
            </w:r>
            <w:r w:rsidR="0048777D">
              <w:rPr>
                <w:rFonts w:cs="Arial"/>
                <w:b/>
                <w:bCs/>
                <w:i/>
                <w:iCs/>
                <w:color w:val="FFFFFF"/>
                <w:sz w:val="22"/>
                <w:szCs w:val="20"/>
                <w:lang w:val="en-US"/>
              </w:rPr>
              <w:t>UK</w:t>
            </w:r>
          </w:p>
        </w:tc>
      </w:tr>
      <w:tr w:rsidR="00247547" w14:paraId="29623D66" w14:textId="77777777" w:rsidTr="00B378AA">
        <w:tc>
          <w:tcPr>
            <w:tcW w:w="1360" w:type="pct"/>
            <w:shd w:val="clear" w:color="auto" w:fill="auto"/>
            <w:tcMar>
              <w:top w:w="57" w:type="dxa"/>
              <w:bottom w:w="57" w:type="dxa"/>
            </w:tcMar>
          </w:tcPr>
          <w:p w14:paraId="6CE408FD" w14:textId="77777777" w:rsidR="00247547" w:rsidRDefault="00EB4EDC" w:rsidP="007D01FD">
            <w:pPr>
              <w:rPr>
                <w:rFonts w:cs="Arial"/>
                <w:szCs w:val="19"/>
              </w:rPr>
            </w:pPr>
            <w:r>
              <w:rPr>
                <w:rFonts w:cs="Arial"/>
                <w:szCs w:val="19"/>
              </w:rPr>
              <w:t>Donanemab (</w:t>
            </w:r>
            <w:proofErr w:type="spellStart"/>
            <w:r>
              <w:rPr>
                <w:rFonts w:cs="Arial"/>
                <w:i/>
                <w:iCs/>
                <w:szCs w:val="19"/>
              </w:rPr>
              <w:t>Kisunla</w:t>
            </w:r>
            <w:proofErr w:type="spellEnd"/>
            <w:r>
              <w:rPr>
                <w:rFonts w:cs="Arial"/>
                <w:szCs w:val="19"/>
              </w:rPr>
              <w:t>)</w:t>
            </w:r>
          </w:p>
          <w:p w14:paraId="2609A2DE" w14:textId="52868E3F" w:rsidR="00B203F9" w:rsidRPr="00EB4EDC" w:rsidRDefault="00B203F9" w:rsidP="007D01FD">
            <w:pPr>
              <w:rPr>
                <w:rFonts w:cs="Arial"/>
                <w:szCs w:val="19"/>
              </w:rPr>
            </w:pPr>
            <w:r w:rsidRPr="00B203F9">
              <w:rPr>
                <w:rFonts w:cs="Arial"/>
                <w:sz w:val="16"/>
                <w:szCs w:val="16"/>
              </w:rPr>
              <w:t>350mg in 20mL vial</w:t>
            </w:r>
          </w:p>
        </w:tc>
        <w:tc>
          <w:tcPr>
            <w:tcW w:w="3640" w:type="pct"/>
            <w:shd w:val="clear" w:color="auto" w:fill="auto"/>
            <w:tcMar>
              <w:top w:w="57" w:type="dxa"/>
              <w:bottom w:w="57" w:type="dxa"/>
            </w:tcMar>
          </w:tcPr>
          <w:p w14:paraId="5AB9EA66" w14:textId="0BD8331C" w:rsidR="00247547" w:rsidRPr="002B10C1" w:rsidRDefault="00B203F9" w:rsidP="007D01FD">
            <w:pPr>
              <w:tabs>
                <w:tab w:val="center" w:pos="3152"/>
              </w:tabs>
              <w:rPr>
                <w:rFonts w:cs="Arial"/>
                <w:szCs w:val="19"/>
                <w:lang w:val="en-US"/>
              </w:rPr>
            </w:pPr>
            <w:r w:rsidRPr="00B203F9">
              <w:rPr>
                <w:rFonts w:cs="Arial"/>
                <w:szCs w:val="19"/>
                <w:lang w:val="en-US"/>
              </w:rPr>
              <w:t>Treatment of mild cognitive impairment and mild dementia due to Alzheimer’s disease in adults that are apolipoprotein E ε4 heterozygotes or non-carriers</w:t>
            </w:r>
          </w:p>
        </w:tc>
      </w:tr>
      <w:tr w:rsidR="0018042E" w14:paraId="52DD251E" w14:textId="77777777" w:rsidTr="00B378AA">
        <w:tc>
          <w:tcPr>
            <w:tcW w:w="1360" w:type="pct"/>
            <w:shd w:val="clear" w:color="auto" w:fill="auto"/>
            <w:tcMar>
              <w:top w:w="57" w:type="dxa"/>
              <w:bottom w:w="57" w:type="dxa"/>
            </w:tcMar>
          </w:tcPr>
          <w:p w14:paraId="326F98D0" w14:textId="77777777" w:rsidR="0018042E" w:rsidRDefault="00C24A8A" w:rsidP="00493607">
            <w:pPr>
              <w:rPr>
                <w:rFonts w:cs="Arial"/>
                <w:szCs w:val="19"/>
              </w:rPr>
            </w:pPr>
            <w:proofErr w:type="spellStart"/>
            <w:r w:rsidRPr="00C24A8A">
              <w:rPr>
                <w:rFonts w:cs="Arial"/>
                <w:szCs w:val="19"/>
              </w:rPr>
              <w:t>Eplontersen</w:t>
            </w:r>
            <w:proofErr w:type="spellEnd"/>
            <w:r>
              <w:rPr>
                <w:rFonts w:cs="Arial"/>
                <w:szCs w:val="19"/>
              </w:rPr>
              <w:t xml:space="preserve"> (</w:t>
            </w:r>
            <w:proofErr w:type="spellStart"/>
            <w:r>
              <w:rPr>
                <w:rFonts w:cs="Arial"/>
                <w:i/>
                <w:iCs/>
                <w:szCs w:val="19"/>
              </w:rPr>
              <w:t>Wainzua</w:t>
            </w:r>
            <w:proofErr w:type="spellEnd"/>
            <w:r>
              <w:rPr>
                <w:rFonts w:cs="Arial"/>
                <w:szCs w:val="19"/>
              </w:rPr>
              <w:t>)</w:t>
            </w:r>
          </w:p>
          <w:p w14:paraId="64DFAA51" w14:textId="1134B5EF" w:rsidR="00C24A8A" w:rsidRPr="00C24A8A" w:rsidRDefault="00C24A8A" w:rsidP="00493607">
            <w:pPr>
              <w:rPr>
                <w:rFonts w:cs="Arial"/>
                <w:szCs w:val="19"/>
              </w:rPr>
            </w:pPr>
            <w:r w:rsidRPr="00C24A8A">
              <w:rPr>
                <w:rFonts w:cs="Arial"/>
                <w:sz w:val="16"/>
                <w:szCs w:val="16"/>
              </w:rPr>
              <w:t>45mg</w:t>
            </w:r>
            <w:r>
              <w:rPr>
                <w:rFonts w:cs="Arial"/>
                <w:sz w:val="16"/>
                <w:szCs w:val="16"/>
              </w:rPr>
              <w:t xml:space="preserve"> in 0.8mL</w:t>
            </w:r>
            <w:r w:rsidRPr="00C24A8A">
              <w:rPr>
                <w:rFonts w:cs="Arial"/>
                <w:sz w:val="16"/>
                <w:szCs w:val="16"/>
              </w:rPr>
              <w:t xml:space="preserve"> prefilled pen</w:t>
            </w:r>
          </w:p>
        </w:tc>
        <w:tc>
          <w:tcPr>
            <w:tcW w:w="3640" w:type="pct"/>
            <w:shd w:val="clear" w:color="auto" w:fill="auto"/>
            <w:tcMar>
              <w:top w:w="57" w:type="dxa"/>
              <w:bottom w:w="57" w:type="dxa"/>
            </w:tcMar>
          </w:tcPr>
          <w:p w14:paraId="7395BF69" w14:textId="0E895616" w:rsidR="0018042E" w:rsidRPr="00A075A3" w:rsidRDefault="00C24A8A" w:rsidP="00493607">
            <w:pPr>
              <w:tabs>
                <w:tab w:val="center" w:pos="3152"/>
              </w:tabs>
              <w:rPr>
                <w:rFonts w:cs="Arial"/>
                <w:szCs w:val="19"/>
                <w:lang w:val="en-US"/>
              </w:rPr>
            </w:pPr>
            <w:r w:rsidRPr="00C24A8A">
              <w:rPr>
                <w:rFonts w:cs="Arial"/>
                <w:szCs w:val="19"/>
                <w:lang w:val="en-US"/>
              </w:rPr>
              <w:t>Treatment of hereditary transthyretin-mediated amyloidosis in adults with Stage 1 and 2 polyneuropathy</w:t>
            </w:r>
          </w:p>
        </w:tc>
      </w:tr>
      <w:tr w:rsidR="00F4741D" w14:paraId="7D46A511" w14:textId="77777777" w:rsidTr="00B378AA">
        <w:tc>
          <w:tcPr>
            <w:tcW w:w="1360" w:type="pct"/>
            <w:shd w:val="clear" w:color="auto" w:fill="auto"/>
            <w:tcMar>
              <w:top w:w="57" w:type="dxa"/>
              <w:bottom w:w="57" w:type="dxa"/>
            </w:tcMar>
          </w:tcPr>
          <w:p w14:paraId="6C50D702" w14:textId="77777777" w:rsidR="00F4741D" w:rsidRDefault="00F4741D" w:rsidP="00F4741D">
            <w:pPr>
              <w:rPr>
                <w:rFonts w:cs="Arial"/>
                <w:szCs w:val="19"/>
              </w:rPr>
            </w:pPr>
            <w:r w:rsidRPr="006F0722">
              <w:rPr>
                <w:rFonts w:cs="Arial"/>
                <w:szCs w:val="19"/>
              </w:rPr>
              <w:t>Erdafitinib</w:t>
            </w:r>
            <w:r>
              <w:rPr>
                <w:rFonts w:cs="Arial"/>
                <w:szCs w:val="19"/>
              </w:rPr>
              <w:t xml:space="preserve"> (</w:t>
            </w:r>
            <w:proofErr w:type="spellStart"/>
            <w:r w:rsidRPr="006F0722">
              <w:rPr>
                <w:rFonts w:cs="Arial"/>
                <w:i/>
                <w:iCs/>
                <w:szCs w:val="19"/>
              </w:rPr>
              <w:t>Balversa</w:t>
            </w:r>
            <w:proofErr w:type="spellEnd"/>
            <w:r>
              <w:rPr>
                <w:rFonts w:cs="Arial"/>
                <w:szCs w:val="19"/>
              </w:rPr>
              <w:t>)</w:t>
            </w:r>
          </w:p>
          <w:p w14:paraId="27CEF7ED" w14:textId="09BD4AC1" w:rsidR="005E03A5" w:rsidRPr="00C24A8A" w:rsidRDefault="005E03A5" w:rsidP="00F4741D">
            <w:pPr>
              <w:rPr>
                <w:rFonts w:cs="Arial"/>
                <w:szCs w:val="19"/>
              </w:rPr>
            </w:pPr>
            <w:r w:rsidRPr="005E03A5">
              <w:rPr>
                <w:rFonts w:cs="Arial"/>
                <w:sz w:val="16"/>
                <w:szCs w:val="16"/>
              </w:rPr>
              <w:t>3mg, 4mg and 5mg tablets</w:t>
            </w:r>
          </w:p>
        </w:tc>
        <w:tc>
          <w:tcPr>
            <w:tcW w:w="3640" w:type="pct"/>
            <w:shd w:val="clear" w:color="auto" w:fill="auto"/>
            <w:tcMar>
              <w:top w:w="57" w:type="dxa"/>
              <w:bottom w:w="57" w:type="dxa"/>
            </w:tcMar>
          </w:tcPr>
          <w:p w14:paraId="4A0A03F5" w14:textId="5DDC4FC0" w:rsidR="00F4741D" w:rsidRPr="00C24A8A" w:rsidRDefault="00F4741D" w:rsidP="00F4741D">
            <w:pPr>
              <w:tabs>
                <w:tab w:val="center" w:pos="3152"/>
              </w:tabs>
              <w:rPr>
                <w:rFonts w:cs="Arial"/>
                <w:szCs w:val="19"/>
                <w:lang w:val="en-US"/>
              </w:rPr>
            </w:pPr>
            <w:r w:rsidRPr="006F0722">
              <w:rPr>
                <w:rFonts w:cs="Arial"/>
                <w:szCs w:val="19"/>
                <w:lang w:val="en-US"/>
              </w:rPr>
              <w:t xml:space="preserve">Use as monotherapy for the treatment of adults with unresectable or metastatic urothelial carcinoma, </w:t>
            </w:r>
            <w:proofErr w:type="spellStart"/>
            <w:r w:rsidRPr="006F0722">
              <w:rPr>
                <w:rFonts w:cs="Arial"/>
                <w:szCs w:val="19"/>
                <w:lang w:val="en-US"/>
              </w:rPr>
              <w:t>harbouring</w:t>
            </w:r>
            <w:proofErr w:type="spellEnd"/>
            <w:r w:rsidRPr="006F0722">
              <w:rPr>
                <w:rFonts w:cs="Arial"/>
                <w:szCs w:val="19"/>
                <w:lang w:val="en-US"/>
              </w:rPr>
              <w:t xml:space="preserve"> susceptible FGFR3 genetic alterations who have previously received at least one line of therapy containing a PD-1 or PD-L1 inhibitor in the unresectable or metastatic treatment setting</w:t>
            </w:r>
            <w:r>
              <w:rPr>
                <w:rFonts w:cs="Arial"/>
                <w:szCs w:val="19"/>
                <w:lang w:val="en-US"/>
              </w:rPr>
              <w:t xml:space="preserve"> </w:t>
            </w:r>
          </w:p>
        </w:tc>
      </w:tr>
      <w:tr w:rsidR="00F4741D" w14:paraId="354B7FF4" w14:textId="77777777" w:rsidTr="00B378AA">
        <w:tc>
          <w:tcPr>
            <w:tcW w:w="1360" w:type="pct"/>
            <w:shd w:val="clear" w:color="auto" w:fill="auto"/>
            <w:tcMar>
              <w:top w:w="57" w:type="dxa"/>
              <w:bottom w:w="57" w:type="dxa"/>
            </w:tcMar>
          </w:tcPr>
          <w:p w14:paraId="57697359" w14:textId="77777777" w:rsidR="00F4741D" w:rsidRDefault="007571C9" w:rsidP="00F4741D">
            <w:pPr>
              <w:rPr>
                <w:rFonts w:cs="Arial"/>
                <w:szCs w:val="19"/>
              </w:rPr>
            </w:pPr>
            <w:proofErr w:type="spellStart"/>
            <w:r>
              <w:rPr>
                <w:rFonts w:cs="Arial"/>
                <w:szCs w:val="19"/>
              </w:rPr>
              <w:t>Faricimab</w:t>
            </w:r>
            <w:proofErr w:type="spellEnd"/>
            <w:r>
              <w:rPr>
                <w:rFonts w:cs="Arial"/>
                <w:szCs w:val="19"/>
              </w:rPr>
              <w:t xml:space="preserve"> (</w:t>
            </w:r>
            <w:proofErr w:type="spellStart"/>
            <w:r>
              <w:rPr>
                <w:rFonts w:cs="Arial"/>
                <w:i/>
                <w:iCs/>
                <w:szCs w:val="19"/>
              </w:rPr>
              <w:t>Vabysmo</w:t>
            </w:r>
            <w:proofErr w:type="spellEnd"/>
            <w:r>
              <w:rPr>
                <w:rFonts w:cs="Arial"/>
                <w:szCs w:val="19"/>
              </w:rPr>
              <w:t>)</w:t>
            </w:r>
          </w:p>
          <w:p w14:paraId="08E5C10D" w14:textId="57CC549E" w:rsidR="007571C9" w:rsidRPr="007571C9" w:rsidRDefault="007571C9" w:rsidP="00F4741D">
            <w:pPr>
              <w:rPr>
                <w:rFonts w:cs="Arial"/>
                <w:szCs w:val="19"/>
              </w:rPr>
            </w:pPr>
            <w:r w:rsidRPr="007571C9">
              <w:rPr>
                <w:rFonts w:cs="Arial"/>
                <w:sz w:val="16"/>
                <w:szCs w:val="16"/>
              </w:rPr>
              <w:t>21mg in 0.175mL prefilled syringe</w:t>
            </w:r>
          </w:p>
        </w:tc>
        <w:tc>
          <w:tcPr>
            <w:tcW w:w="3640" w:type="pct"/>
            <w:shd w:val="clear" w:color="auto" w:fill="auto"/>
            <w:tcMar>
              <w:top w:w="57" w:type="dxa"/>
              <w:bottom w:w="57" w:type="dxa"/>
            </w:tcMar>
          </w:tcPr>
          <w:p w14:paraId="712BB855" w14:textId="48CF67C2" w:rsidR="00F4741D" w:rsidRPr="00A075A3" w:rsidRDefault="007571C9" w:rsidP="00F4741D">
            <w:pPr>
              <w:tabs>
                <w:tab w:val="num" w:pos="720"/>
                <w:tab w:val="center" w:pos="3152"/>
              </w:tabs>
              <w:rPr>
                <w:rFonts w:cs="Arial"/>
                <w:szCs w:val="19"/>
                <w:lang w:val="en-US"/>
              </w:rPr>
            </w:pPr>
            <w:r w:rsidRPr="007571C9">
              <w:rPr>
                <w:rFonts w:cs="Arial"/>
                <w:szCs w:val="19"/>
                <w:lang w:val="en-US"/>
              </w:rPr>
              <w:t>Trea</w:t>
            </w:r>
            <w:r>
              <w:rPr>
                <w:rFonts w:cs="Arial"/>
                <w:szCs w:val="19"/>
                <w:lang w:val="en-US"/>
              </w:rPr>
              <w:t>tm</w:t>
            </w:r>
            <w:r w:rsidRPr="007571C9">
              <w:rPr>
                <w:rFonts w:cs="Arial"/>
                <w:szCs w:val="19"/>
                <w:lang w:val="en-US"/>
              </w:rPr>
              <w:t>ent of adults with neovascular (wet) age-related macular degeneration, visual impairment due to diabetic macular oedema, visual impairment due to macular oedema secondary to retinal vein occlusion</w:t>
            </w:r>
            <w:r>
              <w:rPr>
                <w:rFonts w:cs="Arial"/>
                <w:szCs w:val="19"/>
                <w:lang w:val="en-US"/>
              </w:rPr>
              <w:t xml:space="preserve"> </w:t>
            </w:r>
            <w:r w:rsidRPr="007571C9">
              <w:rPr>
                <w:rFonts w:cs="Arial"/>
                <w:sz w:val="16"/>
                <w:szCs w:val="16"/>
                <w:lang w:val="en-US"/>
              </w:rPr>
              <w:t>[new prefilled syringe formulation]</w:t>
            </w:r>
          </w:p>
        </w:tc>
      </w:tr>
      <w:tr w:rsidR="006E3C1F" w:rsidRPr="00862949" w14:paraId="77E1E3EB" w14:textId="77777777" w:rsidTr="005A7E09">
        <w:tc>
          <w:tcPr>
            <w:tcW w:w="5000" w:type="pct"/>
            <w:gridSpan w:val="2"/>
            <w:shd w:val="clear" w:color="auto" w:fill="auto"/>
            <w:tcMar>
              <w:top w:w="0" w:type="dxa"/>
              <w:bottom w:w="0" w:type="dxa"/>
            </w:tcMar>
          </w:tcPr>
          <w:p w14:paraId="73EA2031" w14:textId="77777777" w:rsidR="006E3C1F" w:rsidRPr="00862949" w:rsidRDefault="006E3C1F" w:rsidP="006E3C1F">
            <w:pPr>
              <w:jc w:val="center"/>
              <w:rPr>
                <w:rFonts w:cs="Arial"/>
                <w:noProof/>
                <w:sz w:val="8"/>
                <w:szCs w:val="8"/>
              </w:rPr>
            </w:pPr>
          </w:p>
        </w:tc>
      </w:tr>
      <w:tr w:rsidR="006E3C1F" w:rsidRPr="000F19E1" w14:paraId="26902F0B" w14:textId="77777777" w:rsidTr="00B378AA">
        <w:tc>
          <w:tcPr>
            <w:tcW w:w="1360" w:type="pct"/>
            <w:shd w:val="clear" w:color="auto" w:fill="DAEEF3"/>
            <w:tcMar>
              <w:top w:w="0" w:type="dxa"/>
              <w:bottom w:w="0" w:type="dxa"/>
            </w:tcMar>
          </w:tcPr>
          <w:p w14:paraId="2FF1B2C5" w14:textId="77777777" w:rsidR="006E3C1F" w:rsidRPr="000F19E1" w:rsidRDefault="006E3C1F" w:rsidP="006E3C1F">
            <w:pPr>
              <w:rPr>
                <w:rFonts w:cs="Arial"/>
                <w:bCs/>
                <w:sz w:val="8"/>
                <w:szCs w:val="8"/>
              </w:rPr>
            </w:pPr>
          </w:p>
        </w:tc>
        <w:tc>
          <w:tcPr>
            <w:tcW w:w="3640" w:type="pct"/>
            <w:shd w:val="clear" w:color="auto" w:fill="DAEEF3"/>
            <w:tcMar>
              <w:top w:w="0" w:type="dxa"/>
              <w:bottom w:w="0" w:type="dxa"/>
            </w:tcMar>
          </w:tcPr>
          <w:p w14:paraId="666407E8" w14:textId="77777777" w:rsidR="006E3C1F" w:rsidRPr="000F19E1" w:rsidRDefault="006E3C1F" w:rsidP="006E3C1F">
            <w:pPr>
              <w:tabs>
                <w:tab w:val="center" w:pos="3152"/>
              </w:tabs>
              <w:rPr>
                <w:rFonts w:cs="Arial"/>
                <w:sz w:val="8"/>
                <w:szCs w:val="8"/>
                <w:lang w:val="en-US"/>
              </w:rPr>
            </w:pPr>
          </w:p>
        </w:tc>
      </w:tr>
    </w:tbl>
    <w:p w14:paraId="2748E37B" w14:textId="0ABB5BC6" w:rsidR="00266F9C" w:rsidRDefault="009F6618" w:rsidP="009F6618">
      <w:pPr>
        <w:tabs>
          <w:tab w:val="left" w:pos="1980"/>
        </w:tabs>
      </w:pPr>
      <w:r>
        <w:tab/>
      </w:r>
      <w:r w:rsidR="00266F9C">
        <w:br w:type="page"/>
      </w:r>
    </w:p>
    <w:p w14:paraId="10FCA864" w14:textId="77777777" w:rsidR="00266F9C" w:rsidRDefault="00266F9C"/>
    <w:tbl>
      <w:tblPr>
        <w:tblW w:w="5170" w:type="pct"/>
        <w:tblInd w:w="-176" w:type="dxa"/>
        <w:tblLayout w:type="fixed"/>
        <w:tblLook w:val="01E0" w:firstRow="1" w:lastRow="1" w:firstColumn="1" w:lastColumn="1" w:noHBand="0" w:noVBand="0"/>
      </w:tblPr>
      <w:tblGrid>
        <w:gridCol w:w="2728"/>
        <w:gridCol w:w="7823"/>
      </w:tblGrid>
      <w:tr w:rsidR="00266F9C" w:rsidRPr="00862949" w14:paraId="20F65AB9" w14:textId="77777777" w:rsidTr="0062359B">
        <w:tc>
          <w:tcPr>
            <w:tcW w:w="5000" w:type="pct"/>
            <w:gridSpan w:val="2"/>
            <w:shd w:val="clear" w:color="auto" w:fill="0070C0"/>
            <w:tcMar>
              <w:top w:w="85" w:type="dxa"/>
              <w:bottom w:w="85" w:type="dxa"/>
            </w:tcMar>
            <w:vAlign w:val="bottom"/>
          </w:tcPr>
          <w:p w14:paraId="64656591" w14:textId="77777777" w:rsidR="00266F9C" w:rsidRPr="00862949" w:rsidRDefault="00266F9C" w:rsidP="0062359B">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266F9C" w:rsidRPr="00862949" w14:paraId="61D6A492" w14:textId="77777777" w:rsidTr="0062359B">
        <w:tc>
          <w:tcPr>
            <w:tcW w:w="5000" w:type="pct"/>
            <w:gridSpan w:val="2"/>
            <w:shd w:val="clear" w:color="auto" w:fill="DAEEF3"/>
            <w:tcMar>
              <w:top w:w="0" w:type="dxa"/>
              <w:bottom w:w="0" w:type="dxa"/>
            </w:tcMar>
          </w:tcPr>
          <w:p w14:paraId="26032607" w14:textId="77777777" w:rsidR="00266F9C" w:rsidRPr="00862949" w:rsidRDefault="00266F9C" w:rsidP="0062359B">
            <w:pPr>
              <w:rPr>
                <w:rFonts w:cs="Arial"/>
                <w:b/>
                <w:bCs/>
                <w:i/>
                <w:iCs/>
                <w:color w:val="000000"/>
                <w:sz w:val="8"/>
                <w:szCs w:val="8"/>
                <w:lang w:val="en-US"/>
              </w:rPr>
            </w:pPr>
          </w:p>
        </w:tc>
      </w:tr>
      <w:tr w:rsidR="00266F9C" w:rsidRPr="00862949" w14:paraId="45A940E4" w14:textId="77777777" w:rsidTr="0062359B">
        <w:tc>
          <w:tcPr>
            <w:tcW w:w="5000" w:type="pct"/>
            <w:gridSpan w:val="2"/>
            <w:shd w:val="clear" w:color="auto" w:fill="00B050"/>
            <w:tcMar>
              <w:top w:w="57" w:type="dxa"/>
              <w:bottom w:w="57" w:type="dxa"/>
            </w:tcMar>
          </w:tcPr>
          <w:p w14:paraId="02746091" w14:textId="2541C9D8" w:rsidR="00266F9C" w:rsidRPr="00433D3E" w:rsidRDefault="00266F9C" w:rsidP="0062359B">
            <w:pPr>
              <w:rPr>
                <w:rFonts w:cs="Arial"/>
                <w:color w:val="FFFFFF"/>
                <w:sz w:val="20"/>
                <w:szCs w:val="20"/>
              </w:rPr>
            </w:pPr>
            <w:r w:rsidRPr="00433D3E">
              <w:rPr>
                <w:rFonts w:cs="Arial"/>
                <w:b/>
                <w:bCs/>
                <w:i/>
                <w:iCs/>
                <w:color w:val="FFFFFF"/>
                <w:sz w:val="22"/>
                <w:szCs w:val="20"/>
                <w:lang w:val="en-US"/>
              </w:rPr>
              <w:t xml:space="preserve">Approved in the </w:t>
            </w:r>
            <w:r>
              <w:rPr>
                <w:rFonts w:cs="Arial"/>
                <w:b/>
                <w:bCs/>
                <w:i/>
                <w:iCs/>
                <w:color w:val="FFFFFF"/>
                <w:sz w:val="22"/>
                <w:szCs w:val="20"/>
                <w:lang w:val="en-US"/>
              </w:rPr>
              <w:t xml:space="preserve">UK </w:t>
            </w:r>
            <w:r w:rsidRPr="00266F9C">
              <w:rPr>
                <w:rFonts w:cs="Arial"/>
                <w:b/>
                <w:bCs/>
                <w:color w:val="FFFFFF"/>
                <w:sz w:val="16"/>
                <w:szCs w:val="14"/>
                <w:lang w:val="en-US"/>
              </w:rPr>
              <w:t>(continued)</w:t>
            </w:r>
          </w:p>
        </w:tc>
      </w:tr>
      <w:tr w:rsidR="004C0BC3" w14:paraId="1BFF4882" w14:textId="77777777" w:rsidTr="005A08D3">
        <w:tc>
          <w:tcPr>
            <w:tcW w:w="1293" w:type="pct"/>
            <w:shd w:val="clear" w:color="auto" w:fill="auto"/>
            <w:tcMar>
              <w:top w:w="57" w:type="dxa"/>
              <w:bottom w:w="57" w:type="dxa"/>
            </w:tcMar>
          </w:tcPr>
          <w:p w14:paraId="3A998616" w14:textId="77777777" w:rsidR="004C0BC3" w:rsidRDefault="004C0BC3" w:rsidP="004C0BC3">
            <w:pPr>
              <w:rPr>
                <w:rFonts w:cs="Arial"/>
                <w:szCs w:val="19"/>
              </w:rPr>
            </w:pPr>
            <w:r>
              <w:rPr>
                <w:rFonts w:cs="Arial"/>
                <w:szCs w:val="19"/>
              </w:rPr>
              <w:t>Liraglutide biosimilar (</w:t>
            </w:r>
            <w:r>
              <w:rPr>
                <w:rFonts w:cs="Arial"/>
                <w:i/>
                <w:iCs/>
                <w:szCs w:val="19"/>
              </w:rPr>
              <w:t xml:space="preserve">Liraglutide </w:t>
            </w:r>
            <w:proofErr w:type="spellStart"/>
            <w:r>
              <w:rPr>
                <w:rFonts w:cs="Arial"/>
                <w:i/>
                <w:iCs/>
                <w:szCs w:val="19"/>
              </w:rPr>
              <w:t>Adalvo</w:t>
            </w:r>
            <w:proofErr w:type="spellEnd"/>
            <w:r>
              <w:rPr>
                <w:rFonts w:cs="Arial"/>
                <w:szCs w:val="19"/>
              </w:rPr>
              <w:t>)</w:t>
            </w:r>
          </w:p>
          <w:p w14:paraId="6E59B8A0" w14:textId="2EB9C5BF" w:rsidR="004C0BC3" w:rsidRPr="00891E10" w:rsidRDefault="004C0BC3" w:rsidP="004C0BC3">
            <w:pPr>
              <w:rPr>
                <w:rFonts w:cs="Arial"/>
                <w:szCs w:val="19"/>
              </w:rPr>
            </w:pPr>
            <w:r w:rsidRPr="007B2FF8">
              <w:rPr>
                <w:rFonts w:cs="Arial"/>
                <w:sz w:val="16"/>
                <w:szCs w:val="16"/>
              </w:rPr>
              <w:t>18mg in 3mL prefilled pen</w:t>
            </w:r>
          </w:p>
        </w:tc>
        <w:tc>
          <w:tcPr>
            <w:tcW w:w="3707" w:type="pct"/>
            <w:shd w:val="clear" w:color="auto" w:fill="auto"/>
            <w:tcMar>
              <w:top w:w="57" w:type="dxa"/>
              <w:bottom w:w="57" w:type="dxa"/>
            </w:tcMar>
          </w:tcPr>
          <w:p w14:paraId="030CC572" w14:textId="27E3FC5E" w:rsidR="004C0BC3" w:rsidRPr="00891E10" w:rsidRDefault="004C0BC3" w:rsidP="004C0BC3">
            <w:pPr>
              <w:tabs>
                <w:tab w:val="center" w:pos="3152"/>
              </w:tabs>
              <w:rPr>
                <w:rFonts w:cs="Arial"/>
                <w:szCs w:val="19"/>
                <w:lang w:val="en-US"/>
              </w:rPr>
            </w:pPr>
            <w:r w:rsidRPr="007B2FF8">
              <w:rPr>
                <w:rFonts w:cs="Arial"/>
                <w:szCs w:val="19"/>
                <w:lang w:val="en-US"/>
              </w:rPr>
              <w:t xml:space="preserve">Treatment of adults, adolescents and children aged </w:t>
            </w:r>
            <w:r>
              <w:rPr>
                <w:rFonts w:cs="Arial"/>
                <w:szCs w:val="19"/>
                <w:lang w:val="en-US"/>
              </w:rPr>
              <w:t>≥</w:t>
            </w:r>
            <w:r w:rsidRPr="007B2FF8">
              <w:rPr>
                <w:rFonts w:cs="Arial"/>
                <w:szCs w:val="19"/>
                <w:lang w:val="en-US"/>
              </w:rPr>
              <w:t>10 years with insufficiently controlled type 2 diabetes mellitus as an adjunct to diet and exercise as monotherapy when metformin is considered inappropriate due to intolerance or contraindications, and in addition to other medicinal products for the treatment of diabetes</w:t>
            </w:r>
          </w:p>
        </w:tc>
      </w:tr>
      <w:tr w:rsidR="004C0BC3" w14:paraId="0C7A9039" w14:textId="77777777" w:rsidTr="005A08D3">
        <w:tc>
          <w:tcPr>
            <w:tcW w:w="1293" w:type="pct"/>
            <w:shd w:val="clear" w:color="auto" w:fill="auto"/>
            <w:tcMar>
              <w:top w:w="57" w:type="dxa"/>
              <w:bottom w:w="57" w:type="dxa"/>
            </w:tcMar>
          </w:tcPr>
          <w:p w14:paraId="3EB4462F" w14:textId="77777777" w:rsidR="004C0BC3" w:rsidRDefault="004C0BC3" w:rsidP="004C0BC3">
            <w:pPr>
              <w:rPr>
                <w:rFonts w:cs="Arial"/>
                <w:szCs w:val="19"/>
              </w:rPr>
            </w:pPr>
            <w:r w:rsidRPr="00891E10">
              <w:rPr>
                <w:rFonts w:cs="Arial"/>
                <w:szCs w:val="19"/>
              </w:rPr>
              <w:t>Lisocabtagene maraleucel</w:t>
            </w:r>
            <w:r>
              <w:rPr>
                <w:rFonts w:cs="Arial"/>
                <w:szCs w:val="19"/>
              </w:rPr>
              <w:t xml:space="preserve"> (</w:t>
            </w:r>
            <w:r>
              <w:rPr>
                <w:rFonts w:cs="Arial"/>
                <w:i/>
                <w:iCs/>
                <w:szCs w:val="19"/>
              </w:rPr>
              <w:t>Breyanzi</w:t>
            </w:r>
            <w:r>
              <w:rPr>
                <w:rFonts w:cs="Arial"/>
                <w:szCs w:val="19"/>
              </w:rPr>
              <w:t xml:space="preserve">) </w:t>
            </w:r>
          </w:p>
          <w:p w14:paraId="1E7CB498" w14:textId="24F5425B" w:rsidR="004C0BC3" w:rsidRDefault="004C0BC3" w:rsidP="004C0BC3">
            <w:pPr>
              <w:rPr>
                <w:rFonts w:cs="Arial"/>
                <w:szCs w:val="19"/>
              </w:rPr>
            </w:pPr>
            <w:r w:rsidRPr="008C10C8">
              <w:rPr>
                <w:rFonts w:cs="Arial"/>
                <w:sz w:val="16"/>
                <w:szCs w:val="16"/>
              </w:rPr>
              <w:t>5.1</w:t>
            </w:r>
            <w:r>
              <w:rPr>
                <w:rFonts w:cs="Arial"/>
                <w:sz w:val="16"/>
                <w:szCs w:val="16"/>
              </w:rPr>
              <w:t>-</w:t>
            </w:r>
            <w:r w:rsidRPr="008C10C8">
              <w:rPr>
                <w:rFonts w:cs="Arial"/>
                <w:sz w:val="16"/>
                <w:szCs w:val="16"/>
              </w:rPr>
              <w:t>322 × 10</w:t>
            </w:r>
            <w:r w:rsidRPr="008C10C8">
              <w:rPr>
                <w:rFonts w:cs="Arial"/>
                <w:sz w:val="16"/>
                <w:szCs w:val="16"/>
                <w:vertAlign w:val="superscript"/>
              </w:rPr>
              <w:t xml:space="preserve">6 </w:t>
            </w:r>
            <w:r w:rsidRPr="008C10C8">
              <w:rPr>
                <w:rFonts w:cs="Arial"/>
                <w:sz w:val="16"/>
                <w:szCs w:val="16"/>
              </w:rPr>
              <w:t>CAR+ viable T cells</w:t>
            </w:r>
            <w:r>
              <w:rPr>
                <w:rFonts w:cs="Arial"/>
                <w:sz w:val="16"/>
                <w:szCs w:val="16"/>
              </w:rPr>
              <w:t xml:space="preserve"> in 4.6mL vials (CD4+ and CD8+ cell components in separate vials)</w:t>
            </w:r>
          </w:p>
        </w:tc>
        <w:tc>
          <w:tcPr>
            <w:tcW w:w="3707" w:type="pct"/>
            <w:shd w:val="clear" w:color="auto" w:fill="auto"/>
            <w:tcMar>
              <w:top w:w="57" w:type="dxa"/>
              <w:bottom w:w="57" w:type="dxa"/>
            </w:tcMar>
          </w:tcPr>
          <w:p w14:paraId="3128FCE4" w14:textId="6FFF6942" w:rsidR="004C0BC3" w:rsidRPr="006E3C1F" w:rsidRDefault="004C0BC3" w:rsidP="004C0BC3">
            <w:pPr>
              <w:tabs>
                <w:tab w:val="center" w:pos="3152"/>
              </w:tabs>
              <w:rPr>
                <w:rFonts w:cs="Arial"/>
                <w:color w:val="000000"/>
                <w:szCs w:val="19"/>
                <w:lang w:val="en-US"/>
              </w:rPr>
            </w:pPr>
            <w:r w:rsidRPr="00891E10">
              <w:rPr>
                <w:rFonts w:cs="Arial"/>
                <w:szCs w:val="19"/>
                <w:lang w:val="en-US"/>
              </w:rPr>
              <w:t>Treatment of adults with diffuse large B-cell lymphoma, high grade B-cell lymphoma, primary mediastinal large B-cell lymphoma and follicular lymphoma grade 3B, who relapsed within 12 months from completion of, or are refractory to, first-line chemoimmunotherapy</w:t>
            </w:r>
            <w:r>
              <w:rPr>
                <w:rFonts w:cs="Arial"/>
                <w:szCs w:val="19"/>
                <w:lang w:val="en-US"/>
              </w:rPr>
              <w:t xml:space="preserve"> </w:t>
            </w:r>
            <w:r w:rsidRPr="00891E10">
              <w:rPr>
                <w:rFonts w:cs="Arial"/>
                <w:sz w:val="16"/>
                <w:szCs w:val="16"/>
                <w:lang w:val="en-US"/>
              </w:rPr>
              <w:t>[new indication]</w:t>
            </w:r>
          </w:p>
        </w:tc>
      </w:tr>
      <w:tr w:rsidR="004C0BC3" w14:paraId="6B233836" w14:textId="77777777" w:rsidTr="005A08D3">
        <w:tc>
          <w:tcPr>
            <w:tcW w:w="1293" w:type="pct"/>
            <w:shd w:val="clear" w:color="auto" w:fill="auto"/>
            <w:tcMar>
              <w:top w:w="57" w:type="dxa"/>
              <w:bottom w:w="57" w:type="dxa"/>
            </w:tcMar>
          </w:tcPr>
          <w:p w14:paraId="3B17A8B7" w14:textId="77777777" w:rsidR="004C0BC3" w:rsidRDefault="004C0BC3" w:rsidP="004C0BC3">
            <w:pPr>
              <w:rPr>
                <w:rFonts w:cs="Arial"/>
                <w:szCs w:val="19"/>
              </w:rPr>
            </w:pPr>
            <w:r>
              <w:rPr>
                <w:rFonts w:cs="Arial"/>
                <w:szCs w:val="19"/>
              </w:rPr>
              <w:t>KP.2 (</w:t>
            </w:r>
            <w:r w:rsidRPr="00CA4932">
              <w:rPr>
                <w:rFonts w:cs="Arial"/>
                <w:i/>
                <w:iCs/>
                <w:szCs w:val="19"/>
              </w:rPr>
              <w:t>Comirnaty KP.2 30 micrograms/dose</w:t>
            </w:r>
            <w:r w:rsidRPr="00CA4932">
              <w:rPr>
                <w:rFonts w:cs="Arial"/>
                <w:szCs w:val="19"/>
              </w:rPr>
              <w:t>)</w:t>
            </w:r>
          </w:p>
          <w:p w14:paraId="4B0743C0" w14:textId="15B0464C" w:rsidR="004C0BC3" w:rsidRDefault="004C0BC3" w:rsidP="004C0BC3">
            <w:pPr>
              <w:rPr>
                <w:rFonts w:cs="Arial"/>
                <w:szCs w:val="19"/>
              </w:rPr>
            </w:pPr>
            <w:r w:rsidRPr="00CA4932">
              <w:rPr>
                <w:rFonts w:cs="Arial"/>
                <w:sz w:val="16"/>
                <w:szCs w:val="16"/>
              </w:rPr>
              <w:t>6-dose multi-dose vial and single-dose prefilled syringe</w:t>
            </w:r>
          </w:p>
        </w:tc>
        <w:tc>
          <w:tcPr>
            <w:tcW w:w="3707" w:type="pct"/>
            <w:shd w:val="clear" w:color="auto" w:fill="auto"/>
            <w:tcMar>
              <w:top w:w="57" w:type="dxa"/>
              <w:bottom w:w="57" w:type="dxa"/>
            </w:tcMar>
          </w:tcPr>
          <w:p w14:paraId="70BF04AC" w14:textId="2685834A" w:rsidR="004C0BC3" w:rsidRPr="006E3C1F" w:rsidRDefault="004C0BC3" w:rsidP="004C0BC3">
            <w:pPr>
              <w:tabs>
                <w:tab w:val="center" w:pos="3152"/>
              </w:tabs>
              <w:rPr>
                <w:rFonts w:cs="Arial"/>
                <w:szCs w:val="19"/>
                <w:lang w:val="en-US"/>
              </w:rPr>
            </w:pPr>
            <w:r w:rsidRPr="006E3C1F">
              <w:rPr>
                <w:rFonts w:cs="Arial"/>
                <w:color w:val="000000"/>
                <w:szCs w:val="19"/>
                <w:lang w:val="en-US"/>
              </w:rPr>
              <w:t xml:space="preserve">Active </w:t>
            </w:r>
            <w:proofErr w:type="spellStart"/>
            <w:r w:rsidRPr="006E3C1F">
              <w:rPr>
                <w:rFonts w:cs="Arial"/>
                <w:color w:val="000000"/>
                <w:szCs w:val="19"/>
                <w:lang w:val="en-US"/>
              </w:rPr>
              <w:t>immunisation</w:t>
            </w:r>
            <w:proofErr w:type="spellEnd"/>
            <w:r w:rsidRPr="006E3C1F">
              <w:rPr>
                <w:rFonts w:cs="Arial"/>
                <w:color w:val="000000"/>
                <w:szCs w:val="19"/>
                <w:lang w:val="en-US"/>
              </w:rPr>
              <w:t xml:space="preserve"> to prevent COVID-19 caused by SARS-CoV-2, in individuals aged ≥12 years</w:t>
            </w:r>
          </w:p>
        </w:tc>
      </w:tr>
      <w:tr w:rsidR="004C0BC3" w14:paraId="466E7B3E" w14:textId="77777777" w:rsidTr="005A08D3">
        <w:tc>
          <w:tcPr>
            <w:tcW w:w="1293" w:type="pct"/>
            <w:shd w:val="clear" w:color="auto" w:fill="auto"/>
            <w:tcMar>
              <w:top w:w="57" w:type="dxa"/>
              <w:bottom w:w="57" w:type="dxa"/>
            </w:tcMar>
          </w:tcPr>
          <w:p w14:paraId="604CBE55" w14:textId="77777777" w:rsidR="004C0BC3" w:rsidRDefault="004C0BC3" w:rsidP="004C0BC3">
            <w:pPr>
              <w:rPr>
                <w:rFonts w:cs="Arial"/>
                <w:szCs w:val="19"/>
              </w:rPr>
            </w:pPr>
            <w:proofErr w:type="spellStart"/>
            <w:r w:rsidRPr="007F4D97">
              <w:rPr>
                <w:rFonts w:cs="Arial"/>
                <w:szCs w:val="19"/>
              </w:rPr>
              <w:t>Sugemalimab</w:t>
            </w:r>
            <w:proofErr w:type="spellEnd"/>
            <w:r>
              <w:rPr>
                <w:rFonts w:cs="Arial"/>
                <w:szCs w:val="19"/>
              </w:rPr>
              <w:t xml:space="preserve"> (</w:t>
            </w:r>
            <w:proofErr w:type="spellStart"/>
            <w:r w:rsidRPr="007F4D97">
              <w:rPr>
                <w:rFonts w:cs="Arial"/>
                <w:i/>
                <w:iCs/>
                <w:szCs w:val="19"/>
              </w:rPr>
              <w:t>Eqjubi</w:t>
            </w:r>
            <w:proofErr w:type="spellEnd"/>
            <w:r>
              <w:rPr>
                <w:rFonts w:cs="Arial"/>
                <w:szCs w:val="19"/>
              </w:rPr>
              <w:t>)</w:t>
            </w:r>
          </w:p>
          <w:p w14:paraId="491AB82E" w14:textId="425527ED" w:rsidR="004C0BC3" w:rsidRDefault="004C0BC3" w:rsidP="004C0BC3">
            <w:pPr>
              <w:rPr>
                <w:rFonts w:cs="Arial"/>
                <w:szCs w:val="19"/>
              </w:rPr>
            </w:pPr>
            <w:r w:rsidRPr="007F4D97">
              <w:rPr>
                <w:rFonts w:cs="Arial"/>
                <w:sz w:val="16"/>
                <w:szCs w:val="16"/>
              </w:rPr>
              <w:t>600mg in 20mL vial</w:t>
            </w:r>
          </w:p>
        </w:tc>
        <w:tc>
          <w:tcPr>
            <w:tcW w:w="3707" w:type="pct"/>
            <w:shd w:val="clear" w:color="auto" w:fill="auto"/>
            <w:tcMar>
              <w:top w:w="57" w:type="dxa"/>
              <w:bottom w:w="57" w:type="dxa"/>
            </w:tcMar>
          </w:tcPr>
          <w:p w14:paraId="2118908F" w14:textId="777AA865" w:rsidR="004C0BC3" w:rsidRPr="006E3C1F" w:rsidRDefault="004C0BC3" w:rsidP="004C0BC3">
            <w:pPr>
              <w:tabs>
                <w:tab w:val="center" w:pos="3152"/>
              </w:tabs>
              <w:rPr>
                <w:rFonts w:cs="Arial"/>
                <w:szCs w:val="19"/>
                <w:lang w:val="en-US"/>
              </w:rPr>
            </w:pPr>
            <w:r>
              <w:rPr>
                <w:rFonts w:cs="Arial"/>
                <w:szCs w:val="19"/>
                <w:lang w:val="en-US"/>
              </w:rPr>
              <w:t xml:space="preserve">Use </w:t>
            </w:r>
            <w:r w:rsidRPr="007F4D97">
              <w:rPr>
                <w:rFonts w:cs="Arial"/>
                <w:szCs w:val="19"/>
                <w:lang w:val="en-US"/>
              </w:rPr>
              <w:t>in combination with platinum-based chemotherapy for the first</w:t>
            </w:r>
            <w:r>
              <w:rPr>
                <w:rFonts w:cs="Arial"/>
                <w:szCs w:val="19"/>
                <w:lang w:val="en-US"/>
              </w:rPr>
              <w:t>-</w:t>
            </w:r>
            <w:r w:rsidRPr="007F4D97">
              <w:rPr>
                <w:rFonts w:cs="Arial"/>
                <w:szCs w:val="19"/>
                <w:lang w:val="en-US"/>
              </w:rPr>
              <w:t>line treatment of adults with metastatic non-smal</w:t>
            </w:r>
            <w:r w:rsidR="009C0077">
              <w:rPr>
                <w:rFonts w:cs="Arial"/>
                <w:szCs w:val="19"/>
                <w:lang w:val="en-US"/>
              </w:rPr>
              <w:t xml:space="preserve">l </w:t>
            </w:r>
            <w:r w:rsidRPr="007F4D97">
              <w:rPr>
                <w:rFonts w:cs="Arial"/>
                <w:szCs w:val="19"/>
                <w:lang w:val="en-US"/>
              </w:rPr>
              <w:t>cell lung cancer with no</w:t>
            </w:r>
            <w:r>
              <w:rPr>
                <w:rFonts w:cs="Arial"/>
                <w:szCs w:val="19"/>
                <w:lang w:val="en-US"/>
              </w:rPr>
              <w:t xml:space="preserve"> </w:t>
            </w:r>
            <w:proofErr w:type="spellStart"/>
            <w:r w:rsidRPr="007F4D97">
              <w:rPr>
                <w:rFonts w:cs="Arial"/>
                <w:szCs w:val="19"/>
                <w:lang w:val="en-US"/>
              </w:rPr>
              <w:t>sensitising</w:t>
            </w:r>
            <w:proofErr w:type="spellEnd"/>
            <w:r w:rsidRPr="007F4D97">
              <w:rPr>
                <w:rFonts w:cs="Arial"/>
                <w:szCs w:val="19"/>
                <w:lang w:val="en-US"/>
              </w:rPr>
              <w:t xml:space="preserve"> EGFR mutations, or ALK, ROS1 or RET genomic tumour aberrations</w:t>
            </w:r>
          </w:p>
        </w:tc>
      </w:tr>
      <w:tr w:rsidR="004C0BC3" w14:paraId="7B261DDB" w14:textId="77777777" w:rsidTr="005A08D3">
        <w:tc>
          <w:tcPr>
            <w:tcW w:w="1293" w:type="pct"/>
            <w:shd w:val="clear" w:color="auto" w:fill="auto"/>
            <w:tcMar>
              <w:top w:w="57" w:type="dxa"/>
              <w:bottom w:w="57" w:type="dxa"/>
            </w:tcMar>
          </w:tcPr>
          <w:p w14:paraId="04491775" w14:textId="77777777" w:rsidR="004C0BC3" w:rsidRDefault="004C0BC3" w:rsidP="004C0BC3">
            <w:r>
              <w:rPr>
                <w:rFonts w:cs="Arial"/>
                <w:szCs w:val="19"/>
              </w:rPr>
              <w:t>Tocilizumab biosimilar (</w:t>
            </w:r>
            <w:proofErr w:type="spellStart"/>
            <w:r>
              <w:rPr>
                <w:rFonts w:cs="Arial"/>
                <w:i/>
                <w:iCs/>
                <w:szCs w:val="19"/>
              </w:rPr>
              <w:t>Tofidence</w:t>
            </w:r>
            <w:proofErr w:type="spellEnd"/>
            <w:r>
              <w:rPr>
                <w:rFonts w:cs="Arial"/>
                <w:szCs w:val="19"/>
              </w:rPr>
              <w:t>)</w:t>
            </w:r>
            <w:r>
              <w:t xml:space="preserve"> </w:t>
            </w:r>
          </w:p>
          <w:p w14:paraId="535C6CC3" w14:textId="0315994F" w:rsidR="004C0BC3" w:rsidRDefault="004C0BC3" w:rsidP="004C0BC3">
            <w:pPr>
              <w:rPr>
                <w:rFonts w:cs="Arial"/>
                <w:szCs w:val="19"/>
              </w:rPr>
            </w:pPr>
            <w:r w:rsidRPr="006E3C1F">
              <w:rPr>
                <w:rFonts w:cs="Arial"/>
                <w:sz w:val="16"/>
                <w:szCs w:val="16"/>
              </w:rPr>
              <w:t>80mg in 4mL vial, 200mg in 10mL vial and 400mg in 20mL vial</w:t>
            </w:r>
          </w:p>
        </w:tc>
        <w:tc>
          <w:tcPr>
            <w:tcW w:w="3707" w:type="pct"/>
            <w:shd w:val="clear" w:color="auto" w:fill="auto"/>
            <w:tcMar>
              <w:top w:w="57" w:type="dxa"/>
              <w:bottom w:w="57" w:type="dxa"/>
            </w:tcMar>
          </w:tcPr>
          <w:p w14:paraId="1BC54CF5" w14:textId="6EA71457" w:rsidR="004C0BC3" w:rsidRPr="009B0FD7" w:rsidRDefault="004C0BC3" w:rsidP="004C0BC3">
            <w:pPr>
              <w:tabs>
                <w:tab w:val="center" w:pos="3152"/>
              </w:tabs>
              <w:rPr>
                <w:rFonts w:cs="Arial"/>
                <w:szCs w:val="19"/>
                <w:lang w:val="en-US"/>
              </w:rPr>
            </w:pPr>
            <w:r w:rsidRPr="009B6454">
              <w:rPr>
                <w:rFonts w:cs="Arial"/>
                <w:szCs w:val="19"/>
                <w:lang w:val="en-US"/>
              </w:rPr>
              <w:t>Use as monotherapy or in combination with methotrexate (MTX) for treatment of severe, active and progressive rheumatoid arthritis (RA) in adults not previously treated with MTX; treatment of moderate to severe active RA in adults who have either responded inadequately to, or who were intolerant to, previous therapy with one or more disease- modifying anti-rheumatic drugs (DMARDs) or tumour necrosis factor (TNF) antagonists; treatment of coronavirus disease 2019 (COVID-19) in adults who are receiving systemic corticosteroids and require supplemental oxygen or mechanical ventilation; use as monotherapy or in combination with MTX for treatment of active systemic juvenile idiopathic arthritis (</w:t>
            </w:r>
            <w:proofErr w:type="spellStart"/>
            <w:r w:rsidRPr="009B6454">
              <w:rPr>
                <w:rFonts w:cs="Arial"/>
                <w:szCs w:val="19"/>
                <w:lang w:val="en-US"/>
              </w:rPr>
              <w:t>sJIA</w:t>
            </w:r>
            <w:proofErr w:type="spellEnd"/>
            <w:r w:rsidRPr="009B6454">
              <w:rPr>
                <w:rFonts w:cs="Arial"/>
                <w:szCs w:val="19"/>
                <w:lang w:val="en-US"/>
              </w:rPr>
              <w:t>) in patients aged ≥2 years, who have responded inadequately to previous therapy with NSAIDs and systemic corticosteroids; treatment of juvenile idiopathic polyarthritis (</w:t>
            </w:r>
            <w:proofErr w:type="spellStart"/>
            <w:r w:rsidRPr="009B6454">
              <w:rPr>
                <w:rFonts w:cs="Arial"/>
                <w:szCs w:val="19"/>
                <w:lang w:val="en-US"/>
              </w:rPr>
              <w:t>pJIA</w:t>
            </w:r>
            <w:proofErr w:type="spellEnd"/>
            <w:r w:rsidRPr="009B6454">
              <w:rPr>
                <w:rFonts w:cs="Arial"/>
                <w:szCs w:val="19"/>
                <w:lang w:val="en-US"/>
              </w:rPr>
              <w:t xml:space="preserve">; rheumatoid factor positive or negative and extended oligoarthritis) in patients aged ≥2 years, who have responded inadequately to previous therapy with MTX </w:t>
            </w:r>
            <w:r w:rsidRPr="009B6454">
              <w:rPr>
                <w:rFonts w:cs="Arial"/>
                <w:sz w:val="16"/>
                <w:szCs w:val="16"/>
                <w:lang w:val="en-US"/>
              </w:rPr>
              <w:t>[IV formulation]</w:t>
            </w:r>
          </w:p>
        </w:tc>
      </w:tr>
      <w:tr w:rsidR="004C0BC3" w14:paraId="1C3F7858" w14:textId="77777777" w:rsidTr="005A08D3">
        <w:tc>
          <w:tcPr>
            <w:tcW w:w="1293" w:type="pct"/>
            <w:shd w:val="clear" w:color="auto" w:fill="auto"/>
            <w:tcMar>
              <w:top w:w="57" w:type="dxa"/>
              <w:bottom w:w="57" w:type="dxa"/>
            </w:tcMar>
          </w:tcPr>
          <w:p w14:paraId="0DB9BE15" w14:textId="77777777" w:rsidR="004C0BC3" w:rsidRDefault="004C0BC3" w:rsidP="004C0BC3">
            <w:pPr>
              <w:rPr>
                <w:rFonts w:cs="Arial"/>
                <w:szCs w:val="19"/>
              </w:rPr>
            </w:pPr>
            <w:r>
              <w:rPr>
                <w:rFonts w:cs="Arial"/>
                <w:szCs w:val="19"/>
              </w:rPr>
              <w:t>Ustekinumab biosimilar (</w:t>
            </w:r>
            <w:r>
              <w:rPr>
                <w:rFonts w:cs="Arial"/>
                <w:i/>
                <w:iCs/>
                <w:szCs w:val="19"/>
              </w:rPr>
              <w:t>Uzpruvo</w:t>
            </w:r>
            <w:r>
              <w:rPr>
                <w:rFonts w:cs="Arial"/>
                <w:szCs w:val="19"/>
              </w:rPr>
              <w:t xml:space="preserve">) </w:t>
            </w:r>
          </w:p>
          <w:p w14:paraId="29BDE5C6" w14:textId="77777777" w:rsidR="004C0BC3" w:rsidRPr="009B0FD7" w:rsidRDefault="004C0BC3" w:rsidP="004C0BC3">
            <w:pPr>
              <w:rPr>
                <w:rFonts w:cs="Arial"/>
                <w:szCs w:val="19"/>
              </w:rPr>
            </w:pPr>
            <w:r w:rsidRPr="009B0FD7">
              <w:rPr>
                <w:rFonts w:cs="Arial"/>
                <w:sz w:val="16"/>
                <w:szCs w:val="16"/>
              </w:rPr>
              <w:t>130mg in 26mL vial</w:t>
            </w:r>
          </w:p>
        </w:tc>
        <w:tc>
          <w:tcPr>
            <w:tcW w:w="3707" w:type="pct"/>
            <w:shd w:val="clear" w:color="auto" w:fill="auto"/>
            <w:tcMar>
              <w:top w:w="57" w:type="dxa"/>
              <w:bottom w:w="57" w:type="dxa"/>
            </w:tcMar>
          </w:tcPr>
          <w:p w14:paraId="7524B4F8" w14:textId="77777777" w:rsidR="004C0BC3" w:rsidRPr="00A075A3" w:rsidRDefault="004C0BC3" w:rsidP="004C0BC3">
            <w:pPr>
              <w:tabs>
                <w:tab w:val="center" w:pos="3152"/>
              </w:tabs>
              <w:rPr>
                <w:rFonts w:cs="Arial"/>
                <w:szCs w:val="19"/>
                <w:lang w:val="en-US"/>
              </w:rPr>
            </w:pPr>
            <w:r w:rsidRPr="009B0FD7">
              <w:rPr>
                <w:rFonts w:cs="Arial"/>
                <w:szCs w:val="19"/>
                <w:lang w:val="en-US"/>
              </w:rPr>
              <w:t>Treatment of adults with moderately to severely active Crohn’s disease who have had an inadequate response with, lost response to, or were intolerant to either conventional therapy or a TNFα antagonist or have medical contraindications to such therapies</w:t>
            </w:r>
            <w:r>
              <w:rPr>
                <w:rFonts w:cs="Arial"/>
                <w:szCs w:val="19"/>
                <w:lang w:val="en-US"/>
              </w:rPr>
              <w:t>,</w:t>
            </w:r>
            <w:r w:rsidRPr="009B0FD7">
              <w:rPr>
                <w:rFonts w:cs="Arial"/>
                <w:szCs w:val="19"/>
                <w:lang w:val="en-US"/>
              </w:rPr>
              <w:t xml:space="preserve"> and treatment of adults with moderately to severely active ulcerative colitis who have had an inadequate response with, lost response to, or were intolerant to either conventional therapy or a biologic or have medical contraindications to such therapies</w:t>
            </w:r>
          </w:p>
        </w:tc>
      </w:tr>
      <w:tr w:rsidR="004C0BC3" w:rsidRPr="00862949" w14:paraId="5FEBF052" w14:textId="77777777" w:rsidTr="0062359B">
        <w:tc>
          <w:tcPr>
            <w:tcW w:w="5000" w:type="pct"/>
            <w:gridSpan w:val="2"/>
            <w:shd w:val="clear" w:color="auto" w:fill="auto"/>
            <w:tcMar>
              <w:top w:w="0" w:type="dxa"/>
              <w:bottom w:w="0" w:type="dxa"/>
            </w:tcMar>
          </w:tcPr>
          <w:p w14:paraId="49F89153" w14:textId="77777777" w:rsidR="004C0BC3" w:rsidRPr="00862949" w:rsidRDefault="004C0BC3" w:rsidP="004C0BC3">
            <w:pPr>
              <w:jc w:val="center"/>
              <w:rPr>
                <w:rFonts w:cs="Arial"/>
                <w:noProof/>
                <w:sz w:val="8"/>
                <w:szCs w:val="8"/>
              </w:rPr>
            </w:pPr>
          </w:p>
        </w:tc>
      </w:tr>
      <w:tr w:rsidR="004C0BC3" w:rsidRPr="000F19E1" w14:paraId="64919C83" w14:textId="77777777" w:rsidTr="005A08D3">
        <w:tc>
          <w:tcPr>
            <w:tcW w:w="1293" w:type="pct"/>
            <w:shd w:val="clear" w:color="auto" w:fill="DAEEF3"/>
            <w:tcMar>
              <w:top w:w="0" w:type="dxa"/>
              <w:bottom w:w="0" w:type="dxa"/>
            </w:tcMar>
          </w:tcPr>
          <w:p w14:paraId="796F6B74" w14:textId="77777777" w:rsidR="004C0BC3" w:rsidRPr="000F19E1" w:rsidRDefault="004C0BC3" w:rsidP="004C0BC3">
            <w:pPr>
              <w:rPr>
                <w:rFonts w:cs="Arial"/>
                <w:bCs/>
                <w:sz w:val="8"/>
                <w:szCs w:val="8"/>
              </w:rPr>
            </w:pPr>
          </w:p>
        </w:tc>
        <w:tc>
          <w:tcPr>
            <w:tcW w:w="3707" w:type="pct"/>
            <w:shd w:val="clear" w:color="auto" w:fill="DAEEF3"/>
            <w:tcMar>
              <w:top w:w="0" w:type="dxa"/>
              <w:bottom w:w="0" w:type="dxa"/>
            </w:tcMar>
          </w:tcPr>
          <w:p w14:paraId="427A3009" w14:textId="77777777" w:rsidR="004C0BC3" w:rsidRPr="000F19E1" w:rsidRDefault="004C0BC3" w:rsidP="004C0BC3">
            <w:pPr>
              <w:tabs>
                <w:tab w:val="center" w:pos="3152"/>
              </w:tabs>
              <w:rPr>
                <w:rFonts w:cs="Arial"/>
                <w:sz w:val="8"/>
                <w:szCs w:val="8"/>
                <w:lang w:val="en-US"/>
              </w:rPr>
            </w:pPr>
          </w:p>
        </w:tc>
      </w:tr>
      <w:tr w:rsidR="004C0BC3" w:rsidRPr="00433D3E" w14:paraId="5F317D9F" w14:textId="77777777" w:rsidTr="00155BD9">
        <w:tc>
          <w:tcPr>
            <w:tcW w:w="5000" w:type="pct"/>
            <w:gridSpan w:val="2"/>
            <w:shd w:val="clear" w:color="auto" w:fill="00B050"/>
            <w:tcMar>
              <w:top w:w="57" w:type="dxa"/>
              <w:bottom w:w="57" w:type="dxa"/>
            </w:tcMar>
          </w:tcPr>
          <w:p w14:paraId="3DA0DC55" w14:textId="6DD49F85" w:rsidR="004C0BC3" w:rsidRPr="0021490D" w:rsidRDefault="004C0BC3" w:rsidP="004C0BC3">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4C0BC3" w:rsidRPr="00A075A3" w14:paraId="7D560436" w14:textId="77777777" w:rsidTr="005A08D3">
        <w:tc>
          <w:tcPr>
            <w:tcW w:w="1293" w:type="pct"/>
            <w:shd w:val="clear" w:color="auto" w:fill="auto"/>
            <w:tcMar>
              <w:top w:w="57" w:type="dxa"/>
              <w:bottom w:w="57" w:type="dxa"/>
            </w:tcMar>
          </w:tcPr>
          <w:p w14:paraId="4DC3E3CD" w14:textId="3884C3B8" w:rsidR="004C0BC3" w:rsidRPr="002201BB" w:rsidRDefault="004C0BC3" w:rsidP="004C0BC3">
            <w:pPr>
              <w:rPr>
                <w:rFonts w:cs="Arial"/>
                <w:szCs w:val="19"/>
              </w:rPr>
            </w:pPr>
            <w:proofErr w:type="spellStart"/>
            <w:r>
              <w:rPr>
                <w:rFonts w:cs="Arial"/>
                <w:szCs w:val="19"/>
              </w:rPr>
              <w:t>Bulevirtide</w:t>
            </w:r>
            <w:proofErr w:type="spellEnd"/>
            <w:r>
              <w:rPr>
                <w:rFonts w:cs="Arial"/>
                <w:szCs w:val="19"/>
              </w:rPr>
              <w:t xml:space="preserve"> (</w:t>
            </w:r>
            <w:proofErr w:type="spellStart"/>
            <w:r>
              <w:rPr>
                <w:rFonts w:cs="Arial"/>
                <w:i/>
                <w:iCs/>
                <w:szCs w:val="19"/>
              </w:rPr>
              <w:t>Hepcludex</w:t>
            </w:r>
            <w:proofErr w:type="spellEnd"/>
            <w:r>
              <w:rPr>
                <w:rFonts w:cs="Arial"/>
                <w:szCs w:val="19"/>
              </w:rPr>
              <w:t>)</w:t>
            </w:r>
          </w:p>
        </w:tc>
        <w:tc>
          <w:tcPr>
            <w:tcW w:w="3707" w:type="pct"/>
            <w:shd w:val="clear" w:color="auto" w:fill="auto"/>
            <w:tcMar>
              <w:top w:w="57" w:type="dxa"/>
              <w:bottom w:w="57" w:type="dxa"/>
            </w:tcMar>
          </w:tcPr>
          <w:p w14:paraId="6F07124D" w14:textId="5855390B" w:rsidR="004C0BC3" w:rsidRPr="002201BB" w:rsidRDefault="004C0BC3" w:rsidP="004C0BC3">
            <w:pPr>
              <w:tabs>
                <w:tab w:val="center" w:pos="3152"/>
              </w:tabs>
              <w:rPr>
                <w:rFonts w:cs="Arial"/>
                <w:szCs w:val="19"/>
                <w:lang w:val="en-US"/>
              </w:rPr>
            </w:pPr>
            <w:r w:rsidRPr="00852846">
              <w:rPr>
                <w:rFonts w:cs="Arial"/>
                <w:szCs w:val="19"/>
                <w:lang w:val="en-US"/>
              </w:rPr>
              <w:t xml:space="preserve">Treatment of chronic hepatitis delta virus (HDV) infection in plasma (or serum) HDV-RNA positive adult and paediatric patients </w:t>
            </w:r>
            <w:r>
              <w:rPr>
                <w:rFonts w:cs="Arial"/>
                <w:szCs w:val="19"/>
                <w:lang w:val="en-US"/>
              </w:rPr>
              <w:t>aged ≥</w:t>
            </w:r>
            <w:r w:rsidRPr="00852846">
              <w:rPr>
                <w:rFonts w:cs="Arial"/>
                <w:szCs w:val="19"/>
                <w:lang w:val="en-US"/>
              </w:rPr>
              <w:t xml:space="preserve">3 years weighing </w:t>
            </w:r>
            <w:r>
              <w:rPr>
                <w:rFonts w:cs="Arial"/>
                <w:szCs w:val="19"/>
                <w:lang w:val="en-US"/>
              </w:rPr>
              <w:t>≥</w:t>
            </w:r>
            <w:r w:rsidRPr="00852846">
              <w:rPr>
                <w:rFonts w:cs="Arial"/>
                <w:szCs w:val="19"/>
                <w:lang w:val="en-US"/>
              </w:rPr>
              <w:t>10kg with compensated liver disease</w:t>
            </w:r>
            <w:r>
              <w:rPr>
                <w:rFonts w:cs="Arial"/>
                <w:szCs w:val="19"/>
                <w:lang w:val="en-US"/>
              </w:rPr>
              <w:t xml:space="preserve"> </w:t>
            </w:r>
            <w:r w:rsidRPr="00F74AF4">
              <w:rPr>
                <w:rFonts w:cs="Arial"/>
                <w:sz w:val="16"/>
                <w:szCs w:val="16"/>
                <w:lang w:val="en-US"/>
              </w:rPr>
              <w:t>[EU] [licence change from use only in adults]</w:t>
            </w:r>
          </w:p>
        </w:tc>
      </w:tr>
      <w:tr w:rsidR="004C0BC3" w:rsidRPr="00A075A3" w14:paraId="524A7C2C" w14:textId="77777777" w:rsidTr="005A08D3">
        <w:tc>
          <w:tcPr>
            <w:tcW w:w="1293" w:type="pct"/>
            <w:shd w:val="clear" w:color="auto" w:fill="auto"/>
            <w:tcMar>
              <w:top w:w="57" w:type="dxa"/>
              <w:bottom w:w="57" w:type="dxa"/>
            </w:tcMar>
          </w:tcPr>
          <w:p w14:paraId="17CC22AA" w14:textId="77777777" w:rsidR="004C0BC3" w:rsidRDefault="004C0BC3" w:rsidP="004C0BC3">
            <w:pPr>
              <w:rPr>
                <w:rFonts w:cs="Arial"/>
                <w:szCs w:val="19"/>
              </w:rPr>
            </w:pPr>
            <w:r w:rsidRPr="002201BB">
              <w:rPr>
                <w:rFonts w:cs="Arial"/>
                <w:szCs w:val="19"/>
              </w:rPr>
              <w:t>Buprenorphine</w:t>
            </w:r>
            <w:r>
              <w:rPr>
                <w:rFonts w:cs="Arial"/>
                <w:szCs w:val="19"/>
              </w:rPr>
              <w:t xml:space="preserve"> </w:t>
            </w:r>
          </w:p>
          <w:p w14:paraId="51C83BDB" w14:textId="0D5A8836" w:rsidR="004C0BC3" w:rsidRPr="00B378AA" w:rsidRDefault="004C0BC3" w:rsidP="004C0BC3">
            <w:pPr>
              <w:rPr>
                <w:rFonts w:cs="Arial"/>
                <w:szCs w:val="19"/>
              </w:rPr>
            </w:pPr>
            <w:r>
              <w:rPr>
                <w:rFonts w:cs="Arial"/>
                <w:szCs w:val="19"/>
              </w:rPr>
              <w:t>(</w:t>
            </w:r>
            <w:r w:rsidRPr="002201BB">
              <w:rPr>
                <w:rFonts w:cs="Arial"/>
                <w:i/>
                <w:iCs/>
                <w:szCs w:val="19"/>
              </w:rPr>
              <w:t xml:space="preserve">Buprenorphine </w:t>
            </w:r>
            <w:proofErr w:type="spellStart"/>
            <w:r w:rsidRPr="002201BB">
              <w:rPr>
                <w:rFonts w:cs="Arial"/>
                <w:i/>
                <w:iCs/>
                <w:szCs w:val="19"/>
              </w:rPr>
              <w:t>Neuraxpharm</w:t>
            </w:r>
            <w:proofErr w:type="spellEnd"/>
            <w:r>
              <w:rPr>
                <w:rFonts w:cs="Arial"/>
                <w:szCs w:val="19"/>
              </w:rPr>
              <w:t>)</w:t>
            </w:r>
          </w:p>
        </w:tc>
        <w:tc>
          <w:tcPr>
            <w:tcW w:w="3707" w:type="pct"/>
            <w:shd w:val="clear" w:color="auto" w:fill="auto"/>
            <w:tcMar>
              <w:top w:w="57" w:type="dxa"/>
              <w:bottom w:w="57" w:type="dxa"/>
            </w:tcMar>
          </w:tcPr>
          <w:p w14:paraId="09AD23FE" w14:textId="652838C9" w:rsidR="004C0BC3" w:rsidRPr="00B378AA" w:rsidRDefault="004C0BC3" w:rsidP="004C0BC3">
            <w:pPr>
              <w:tabs>
                <w:tab w:val="center" w:pos="3152"/>
              </w:tabs>
              <w:rPr>
                <w:rFonts w:cs="Arial"/>
                <w:szCs w:val="19"/>
                <w:lang w:val="en-US"/>
              </w:rPr>
            </w:pPr>
            <w:r w:rsidRPr="002201BB">
              <w:rPr>
                <w:rFonts w:cs="Arial"/>
                <w:szCs w:val="19"/>
                <w:lang w:val="en-US"/>
              </w:rPr>
              <w:t xml:space="preserve">Substitution treatment of opioid drug dependence, within a comprehensive therapeutic monitoring framework of medical, social and psychological treatment. Treatment is intended for use in adults and adolescents </w:t>
            </w:r>
            <w:r>
              <w:rPr>
                <w:rFonts w:cs="Arial"/>
                <w:szCs w:val="19"/>
                <w:lang w:val="en-US"/>
              </w:rPr>
              <w:t>aged ≥</w:t>
            </w:r>
            <w:r w:rsidRPr="002201BB">
              <w:rPr>
                <w:rFonts w:cs="Arial"/>
                <w:szCs w:val="19"/>
                <w:lang w:val="en-US"/>
              </w:rPr>
              <w:t>15 years, who have agreed to be treated for addiction</w:t>
            </w:r>
            <w:r>
              <w:rPr>
                <w:rFonts w:cs="Arial"/>
                <w:szCs w:val="19"/>
                <w:lang w:val="en-US"/>
              </w:rPr>
              <w:t xml:space="preserve"> </w:t>
            </w:r>
            <w:r w:rsidRPr="00B378AA">
              <w:rPr>
                <w:rFonts w:cs="Arial"/>
                <w:sz w:val="16"/>
                <w:szCs w:val="16"/>
                <w:lang w:val="en-US"/>
              </w:rPr>
              <w:t>[EU]</w:t>
            </w:r>
            <w:r>
              <w:rPr>
                <w:rFonts w:cs="Arial"/>
                <w:sz w:val="16"/>
                <w:szCs w:val="16"/>
                <w:lang w:val="en-US"/>
              </w:rPr>
              <w:t xml:space="preserve"> [new sublingual film formulation]</w:t>
            </w:r>
          </w:p>
        </w:tc>
      </w:tr>
      <w:tr w:rsidR="004C0BC3" w:rsidRPr="00A075A3" w14:paraId="06174716" w14:textId="77777777" w:rsidTr="005A08D3">
        <w:tc>
          <w:tcPr>
            <w:tcW w:w="1293" w:type="pct"/>
            <w:shd w:val="clear" w:color="auto" w:fill="auto"/>
            <w:tcMar>
              <w:top w:w="57" w:type="dxa"/>
              <w:bottom w:w="57" w:type="dxa"/>
            </w:tcMar>
          </w:tcPr>
          <w:p w14:paraId="4630D669" w14:textId="44F90E39" w:rsidR="004C0BC3" w:rsidRDefault="004C0BC3" w:rsidP="004C0BC3">
            <w:pPr>
              <w:rPr>
                <w:rFonts w:cs="Arial"/>
                <w:szCs w:val="19"/>
              </w:rPr>
            </w:pPr>
            <w:r w:rsidRPr="00B378AA">
              <w:rPr>
                <w:rFonts w:cs="Arial"/>
                <w:szCs w:val="19"/>
              </w:rPr>
              <w:t>Catumaxomab</w:t>
            </w:r>
            <w:r>
              <w:rPr>
                <w:rFonts w:cs="Arial"/>
                <w:szCs w:val="19"/>
              </w:rPr>
              <w:t xml:space="preserve"> (</w:t>
            </w:r>
            <w:proofErr w:type="spellStart"/>
            <w:r>
              <w:rPr>
                <w:rFonts w:cs="Arial"/>
                <w:i/>
                <w:iCs/>
                <w:szCs w:val="19"/>
              </w:rPr>
              <w:t>Korjuny</w:t>
            </w:r>
            <w:proofErr w:type="spellEnd"/>
            <w:r>
              <w:rPr>
                <w:rFonts w:cs="Arial"/>
                <w:szCs w:val="19"/>
              </w:rPr>
              <w:t>)</w:t>
            </w:r>
            <w:r w:rsidRPr="00B378AA">
              <w:rPr>
                <w:rFonts w:cs="Arial"/>
                <w:szCs w:val="19"/>
              </w:rPr>
              <w:t> </w:t>
            </w:r>
          </w:p>
        </w:tc>
        <w:tc>
          <w:tcPr>
            <w:tcW w:w="3707" w:type="pct"/>
            <w:shd w:val="clear" w:color="auto" w:fill="auto"/>
            <w:tcMar>
              <w:top w:w="57" w:type="dxa"/>
              <w:bottom w:w="57" w:type="dxa"/>
            </w:tcMar>
          </w:tcPr>
          <w:p w14:paraId="5A9E4DB0" w14:textId="21A3723B" w:rsidR="004C0BC3" w:rsidRPr="00EB4EDC" w:rsidRDefault="004C0BC3" w:rsidP="004C0BC3">
            <w:pPr>
              <w:tabs>
                <w:tab w:val="center" w:pos="3152"/>
              </w:tabs>
              <w:rPr>
                <w:rFonts w:cs="Arial"/>
                <w:szCs w:val="19"/>
                <w:lang w:val="en-US"/>
              </w:rPr>
            </w:pPr>
            <w:r w:rsidRPr="00B378AA">
              <w:rPr>
                <w:rFonts w:cs="Arial"/>
                <w:szCs w:val="19"/>
                <w:lang w:val="en-US"/>
              </w:rPr>
              <w:t>Intraperitoneal treatment of malignant ascites in adults with epithelial cellular adhesion molecule-positive carcinomas, who are not eligible for further systemic anticancer therapy</w:t>
            </w:r>
            <w:r>
              <w:rPr>
                <w:rFonts w:cs="Arial"/>
                <w:szCs w:val="19"/>
                <w:lang w:val="en-US"/>
              </w:rPr>
              <w:t xml:space="preserve"> </w:t>
            </w:r>
            <w:r w:rsidRPr="00B378AA">
              <w:rPr>
                <w:rFonts w:cs="Arial"/>
                <w:sz w:val="16"/>
                <w:szCs w:val="16"/>
                <w:lang w:val="en-US"/>
              </w:rPr>
              <w:t>[EU]</w:t>
            </w:r>
          </w:p>
        </w:tc>
      </w:tr>
      <w:tr w:rsidR="004C0BC3" w:rsidRPr="00A075A3" w14:paraId="5DA73B67" w14:textId="77777777" w:rsidTr="005A08D3">
        <w:tc>
          <w:tcPr>
            <w:tcW w:w="1293" w:type="pct"/>
            <w:shd w:val="clear" w:color="auto" w:fill="auto"/>
            <w:tcMar>
              <w:top w:w="57" w:type="dxa"/>
              <w:bottom w:w="57" w:type="dxa"/>
            </w:tcMar>
          </w:tcPr>
          <w:p w14:paraId="08AD2750" w14:textId="357B35B2" w:rsidR="004C0BC3" w:rsidRPr="00813950" w:rsidRDefault="004C0BC3" w:rsidP="004C0BC3">
            <w:pPr>
              <w:rPr>
                <w:rFonts w:cs="Arial"/>
                <w:szCs w:val="19"/>
              </w:rPr>
            </w:pPr>
            <w:proofErr w:type="spellStart"/>
            <w:r>
              <w:rPr>
                <w:rFonts w:cs="Arial"/>
                <w:szCs w:val="19"/>
              </w:rPr>
              <w:t>Concizumab</w:t>
            </w:r>
            <w:proofErr w:type="spellEnd"/>
            <w:r>
              <w:rPr>
                <w:rFonts w:cs="Arial"/>
                <w:szCs w:val="19"/>
              </w:rPr>
              <w:t xml:space="preserve"> (</w:t>
            </w:r>
            <w:proofErr w:type="spellStart"/>
            <w:r>
              <w:rPr>
                <w:rFonts w:cs="Arial"/>
                <w:i/>
                <w:iCs/>
                <w:szCs w:val="19"/>
              </w:rPr>
              <w:t>Alhemo</w:t>
            </w:r>
            <w:proofErr w:type="spellEnd"/>
            <w:r>
              <w:rPr>
                <w:rFonts w:cs="Arial"/>
                <w:szCs w:val="19"/>
              </w:rPr>
              <w:t>)</w:t>
            </w:r>
          </w:p>
        </w:tc>
        <w:tc>
          <w:tcPr>
            <w:tcW w:w="3707" w:type="pct"/>
            <w:shd w:val="clear" w:color="auto" w:fill="auto"/>
            <w:tcMar>
              <w:top w:w="57" w:type="dxa"/>
              <w:bottom w:w="57" w:type="dxa"/>
            </w:tcMar>
          </w:tcPr>
          <w:p w14:paraId="75C9E6C6" w14:textId="52C7AEDA" w:rsidR="004C0BC3" w:rsidRPr="00A075A3" w:rsidRDefault="004C0BC3" w:rsidP="004C0BC3">
            <w:pPr>
              <w:tabs>
                <w:tab w:val="center" w:pos="3152"/>
              </w:tabs>
              <w:rPr>
                <w:rFonts w:cs="Arial"/>
                <w:szCs w:val="19"/>
                <w:lang w:val="en-US"/>
              </w:rPr>
            </w:pPr>
            <w:r w:rsidRPr="00EB4EDC">
              <w:rPr>
                <w:rFonts w:cs="Arial"/>
                <w:szCs w:val="19"/>
                <w:lang w:val="en-US"/>
              </w:rPr>
              <w:t xml:space="preserve">Routine prophylaxis of bleeding in patients with </w:t>
            </w:r>
            <w:proofErr w:type="spellStart"/>
            <w:r w:rsidRPr="00EB4EDC">
              <w:rPr>
                <w:rFonts w:cs="Arial"/>
                <w:szCs w:val="19"/>
                <w:lang w:val="en-US"/>
              </w:rPr>
              <w:t>haemophilia</w:t>
            </w:r>
            <w:proofErr w:type="spellEnd"/>
            <w:r w:rsidRPr="00EB4EDC">
              <w:rPr>
                <w:rFonts w:cs="Arial"/>
                <w:szCs w:val="19"/>
                <w:lang w:val="en-US"/>
              </w:rPr>
              <w:t xml:space="preserve"> A (congenital factor VIII deficiency) with FVIII inhibitors </w:t>
            </w:r>
            <w:r>
              <w:rPr>
                <w:rFonts w:cs="Arial"/>
                <w:szCs w:val="19"/>
                <w:lang w:val="en-US"/>
              </w:rPr>
              <w:t>aged ≥</w:t>
            </w:r>
            <w:r w:rsidRPr="00EB4EDC">
              <w:rPr>
                <w:rFonts w:cs="Arial"/>
                <w:szCs w:val="19"/>
                <w:lang w:val="en-US"/>
              </w:rPr>
              <w:t xml:space="preserve">12 years, or </w:t>
            </w:r>
            <w:proofErr w:type="spellStart"/>
            <w:r w:rsidRPr="00EB4EDC">
              <w:rPr>
                <w:rFonts w:cs="Arial"/>
                <w:szCs w:val="19"/>
                <w:lang w:val="en-US"/>
              </w:rPr>
              <w:t>haemophilia</w:t>
            </w:r>
            <w:proofErr w:type="spellEnd"/>
            <w:r w:rsidRPr="00EB4EDC">
              <w:rPr>
                <w:rFonts w:cs="Arial"/>
                <w:szCs w:val="19"/>
                <w:lang w:val="en-US"/>
              </w:rPr>
              <w:t xml:space="preserve"> B (congenital factor IX deficiency) with FIX inhibitors a</w:t>
            </w:r>
            <w:r>
              <w:rPr>
                <w:rFonts w:cs="Arial"/>
                <w:szCs w:val="19"/>
                <w:lang w:val="en-US"/>
              </w:rPr>
              <w:t>ge</w:t>
            </w:r>
            <w:r w:rsidRPr="00EB4EDC">
              <w:rPr>
                <w:rFonts w:cs="Arial"/>
                <w:szCs w:val="19"/>
                <w:lang w:val="en-US"/>
              </w:rPr>
              <w:t xml:space="preserve">d </w:t>
            </w:r>
            <w:r>
              <w:rPr>
                <w:rFonts w:cs="Arial"/>
                <w:szCs w:val="19"/>
                <w:lang w:val="en-US"/>
              </w:rPr>
              <w:t>≥</w:t>
            </w:r>
            <w:r w:rsidRPr="00EB4EDC">
              <w:rPr>
                <w:rFonts w:cs="Arial"/>
                <w:szCs w:val="19"/>
                <w:lang w:val="en-US"/>
              </w:rPr>
              <w:t>12 years</w:t>
            </w:r>
            <w:r>
              <w:rPr>
                <w:rFonts w:cs="Arial"/>
                <w:szCs w:val="19"/>
                <w:lang w:val="en-US"/>
              </w:rPr>
              <w:t xml:space="preserve"> </w:t>
            </w:r>
            <w:r w:rsidRPr="00EB4EDC">
              <w:rPr>
                <w:rFonts w:cs="Arial"/>
                <w:sz w:val="16"/>
                <w:szCs w:val="16"/>
                <w:lang w:val="en-US"/>
              </w:rPr>
              <w:t>[EU]</w:t>
            </w:r>
          </w:p>
        </w:tc>
      </w:tr>
      <w:tr w:rsidR="004C0BC3" w:rsidRPr="000F19E1" w14:paraId="297F161F" w14:textId="77777777" w:rsidTr="005A08D3">
        <w:tc>
          <w:tcPr>
            <w:tcW w:w="1293" w:type="pct"/>
            <w:shd w:val="clear" w:color="auto" w:fill="auto"/>
            <w:tcMar>
              <w:top w:w="0" w:type="dxa"/>
              <w:bottom w:w="0" w:type="dxa"/>
            </w:tcMar>
          </w:tcPr>
          <w:p w14:paraId="234EDB00" w14:textId="77777777" w:rsidR="004C0BC3" w:rsidRPr="000F19E1" w:rsidRDefault="004C0BC3" w:rsidP="004C0BC3">
            <w:pPr>
              <w:rPr>
                <w:rFonts w:cs="Arial"/>
                <w:bCs/>
                <w:sz w:val="8"/>
                <w:szCs w:val="8"/>
              </w:rPr>
            </w:pPr>
          </w:p>
        </w:tc>
        <w:tc>
          <w:tcPr>
            <w:tcW w:w="3707" w:type="pct"/>
            <w:shd w:val="clear" w:color="auto" w:fill="auto"/>
            <w:tcMar>
              <w:top w:w="0" w:type="dxa"/>
              <w:bottom w:w="0" w:type="dxa"/>
            </w:tcMar>
          </w:tcPr>
          <w:p w14:paraId="233453C9" w14:textId="77777777" w:rsidR="004C0BC3" w:rsidRPr="000F19E1" w:rsidRDefault="004C0BC3" w:rsidP="004C0BC3">
            <w:pPr>
              <w:tabs>
                <w:tab w:val="center" w:pos="3152"/>
              </w:tabs>
              <w:rPr>
                <w:rFonts w:cs="Arial"/>
                <w:sz w:val="8"/>
                <w:szCs w:val="8"/>
                <w:lang w:val="en-US"/>
              </w:rPr>
            </w:pPr>
          </w:p>
        </w:tc>
      </w:tr>
      <w:tr w:rsidR="004C0BC3" w:rsidRPr="000F19E1" w14:paraId="5C200089" w14:textId="77777777" w:rsidTr="005A08D3">
        <w:tc>
          <w:tcPr>
            <w:tcW w:w="1293" w:type="pct"/>
            <w:shd w:val="clear" w:color="auto" w:fill="DAEEF3"/>
            <w:tcMar>
              <w:top w:w="0" w:type="dxa"/>
              <w:bottom w:w="0" w:type="dxa"/>
            </w:tcMar>
          </w:tcPr>
          <w:p w14:paraId="0B805D69" w14:textId="77777777" w:rsidR="004C0BC3" w:rsidRPr="000F19E1" w:rsidRDefault="004C0BC3" w:rsidP="004C0BC3">
            <w:pPr>
              <w:rPr>
                <w:rFonts w:cs="Arial"/>
                <w:bCs/>
                <w:sz w:val="8"/>
                <w:szCs w:val="8"/>
              </w:rPr>
            </w:pPr>
          </w:p>
        </w:tc>
        <w:tc>
          <w:tcPr>
            <w:tcW w:w="3707" w:type="pct"/>
            <w:shd w:val="clear" w:color="auto" w:fill="DAEEF3"/>
            <w:tcMar>
              <w:top w:w="0" w:type="dxa"/>
              <w:bottom w:w="0" w:type="dxa"/>
            </w:tcMar>
          </w:tcPr>
          <w:p w14:paraId="568C36D2" w14:textId="77777777" w:rsidR="004C0BC3" w:rsidRPr="000F19E1" w:rsidRDefault="004C0BC3" w:rsidP="004C0BC3">
            <w:pPr>
              <w:tabs>
                <w:tab w:val="center" w:pos="3152"/>
              </w:tabs>
              <w:rPr>
                <w:rFonts w:cs="Arial"/>
                <w:sz w:val="8"/>
                <w:szCs w:val="8"/>
                <w:lang w:val="en-US"/>
              </w:rPr>
            </w:pPr>
          </w:p>
        </w:tc>
      </w:tr>
    </w:tbl>
    <w:p w14:paraId="52C17756" w14:textId="77777777" w:rsidR="001A42CE" w:rsidRDefault="001A42CE">
      <w:pPr>
        <w:rPr>
          <w:sz w:val="18"/>
        </w:rPr>
      </w:pPr>
    </w:p>
    <w:p w14:paraId="26675CF8" w14:textId="77777777" w:rsidR="005710C7" w:rsidRDefault="005710C7">
      <w:pPr>
        <w:rPr>
          <w:sz w:val="18"/>
        </w:rPr>
      </w:pPr>
    </w:p>
    <w:p w14:paraId="7B6D9049" w14:textId="77777777" w:rsidR="00A75BCB" w:rsidRDefault="00A75BCB"/>
    <w:tbl>
      <w:tblPr>
        <w:tblW w:w="5170" w:type="pct"/>
        <w:tblInd w:w="-176" w:type="dxa"/>
        <w:tblLayout w:type="fixed"/>
        <w:tblLook w:val="01E0" w:firstRow="1" w:lastRow="1" w:firstColumn="1" w:lastColumn="1" w:noHBand="0" w:noVBand="0"/>
      </w:tblPr>
      <w:tblGrid>
        <w:gridCol w:w="2431"/>
        <w:gridCol w:w="13"/>
        <w:gridCol w:w="8107"/>
      </w:tblGrid>
      <w:tr w:rsidR="00856984" w:rsidRPr="00862949" w14:paraId="35B2797A" w14:textId="77777777" w:rsidTr="0062359B">
        <w:tc>
          <w:tcPr>
            <w:tcW w:w="5000" w:type="pct"/>
            <w:gridSpan w:val="3"/>
            <w:shd w:val="clear" w:color="auto" w:fill="0070C0"/>
            <w:tcMar>
              <w:top w:w="85" w:type="dxa"/>
              <w:bottom w:w="85" w:type="dxa"/>
            </w:tcMar>
            <w:vAlign w:val="bottom"/>
          </w:tcPr>
          <w:p w14:paraId="2F24E6AE" w14:textId="77777777" w:rsidR="00856984" w:rsidRPr="00862949" w:rsidRDefault="00856984" w:rsidP="0062359B">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856984" w:rsidRPr="000F19E1" w14:paraId="15403699" w14:textId="77777777" w:rsidTr="0062359B">
        <w:tc>
          <w:tcPr>
            <w:tcW w:w="1152" w:type="pct"/>
            <w:shd w:val="clear" w:color="auto" w:fill="DAEEF3"/>
            <w:tcMar>
              <w:top w:w="0" w:type="dxa"/>
              <w:bottom w:w="0" w:type="dxa"/>
            </w:tcMar>
          </w:tcPr>
          <w:p w14:paraId="1AEB161D" w14:textId="77777777" w:rsidR="00856984" w:rsidRPr="000F19E1" w:rsidRDefault="00856984" w:rsidP="0062359B">
            <w:pPr>
              <w:rPr>
                <w:rFonts w:cs="Arial"/>
                <w:bCs/>
                <w:sz w:val="8"/>
                <w:szCs w:val="8"/>
              </w:rPr>
            </w:pPr>
          </w:p>
        </w:tc>
        <w:tc>
          <w:tcPr>
            <w:tcW w:w="3848" w:type="pct"/>
            <w:gridSpan w:val="2"/>
            <w:shd w:val="clear" w:color="auto" w:fill="DAEEF3"/>
            <w:tcMar>
              <w:top w:w="0" w:type="dxa"/>
              <w:bottom w:w="0" w:type="dxa"/>
            </w:tcMar>
          </w:tcPr>
          <w:p w14:paraId="47BC1360" w14:textId="77777777" w:rsidR="00856984" w:rsidRPr="000F19E1" w:rsidRDefault="00856984" w:rsidP="0062359B">
            <w:pPr>
              <w:tabs>
                <w:tab w:val="center" w:pos="3152"/>
              </w:tabs>
              <w:rPr>
                <w:rFonts w:cs="Arial"/>
                <w:sz w:val="8"/>
                <w:szCs w:val="8"/>
                <w:lang w:val="en-US"/>
              </w:rPr>
            </w:pPr>
          </w:p>
        </w:tc>
      </w:tr>
      <w:tr w:rsidR="00856984" w:rsidRPr="00433D3E" w14:paraId="2567EF02" w14:textId="77777777" w:rsidTr="0062359B">
        <w:tc>
          <w:tcPr>
            <w:tcW w:w="5000" w:type="pct"/>
            <w:gridSpan w:val="3"/>
            <w:shd w:val="clear" w:color="auto" w:fill="00B050"/>
            <w:tcMar>
              <w:top w:w="57" w:type="dxa"/>
              <w:bottom w:w="57" w:type="dxa"/>
            </w:tcMar>
          </w:tcPr>
          <w:p w14:paraId="5B7B5490" w14:textId="4C6BC86B" w:rsidR="00856984" w:rsidRPr="0021490D" w:rsidRDefault="00856984" w:rsidP="0062359B">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r w:rsidR="00266F9C">
              <w:rPr>
                <w:rFonts w:cs="Arial"/>
                <w:b/>
                <w:bCs/>
                <w:i/>
                <w:iCs/>
                <w:color w:val="FFFFFF"/>
                <w:sz w:val="22"/>
                <w:szCs w:val="20"/>
                <w:lang w:val="en-US"/>
              </w:rPr>
              <w:t xml:space="preserve"> </w:t>
            </w:r>
            <w:r w:rsidR="00266F9C" w:rsidRPr="00266F9C">
              <w:rPr>
                <w:rFonts w:cs="Arial"/>
                <w:b/>
                <w:bCs/>
                <w:color w:val="FFFFFF"/>
                <w:sz w:val="16"/>
                <w:szCs w:val="14"/>
                <w:lang w:val="en-US"/>
              </w:rPr>
              <w:t>(continued)</w:t>
            </w:r>
          </w:p>
        </w:tc>
      </w:tr>
      <w:tr w:rsidR="004C0BC3" w:rsidRPr="00A075A3" w14:paraId="14F08B3C" w14:textId="77777777" w:rsidTr="007B2FF8">
        <w:tc>
          <w:tcPr>
            <w:tcW w:w="1158" w:type="pct"/>
            <w:gridSpan w:val="2"/>
            <w:shd w:val="clear" w:color="auto" w:fill="auto"/>
            <w:tcMar>
              <w:top w:w="57" w:type="dxa"/>
              <w:bottom w:w="57" w:type="dxa"/>
            </w:tcMar>
          </w:tcPr>
          <w:p w14:paraId="7074A084" w14:textId="0A7E4138" w:rsidR="004C0BC3" w:rsidRPr="00C24A8A" w:rsidRDefault="004C0BC3" w:rsidP="004C0BC3">
            <w:pPr>
              <w:rPr>
                <w:rFonts w:cs="Arial"/>
                <w:szCs w:val="19"/>
              </w:rPr>
            </w:pPr>
            <w:r w:rsidRPr="00991D58">
              <w:rPr>
                <w:rFonts w:cs="Arial"/>
                <w:szCs w:val="19"/>
              </w:rPr>
              <w:t>Eliglustat</w:t>
            </w:r>
            <w:r>
              <w:rPr>
                <w:rFonts w:cs="Arial"/>
                <w:szCs w:val="19"/>
              </w:rPr>
              <w:t xml:space="preserve"> (</w:t>
            </w:r>
            <w:proofErr w:type="spellStart"/>
            <w:r>
              <w:rPr>
                <w:rFonts w:cs="Arial"/>
                <w:i/>
                <w:iCs/>
                <w:szCs w:val="19"/>
              </w:rPr>
              <w:t>Cerdelga</w:t>
            </w:r>
            <w:proofErr w:type="spellEnd"/>
            <w:r>
              <w:rPr>
                <w:rFonts w:cs="Arial"/>
                <w:szCs w:val="19"/>
              </w:rPr>
              <w:t>)</w:t>
            </w:r>
          </w:p>
        </w:tc>
        <w:tc>
          <w:tcPr>
            <w:tcW w:w="3842" w:type="pct"/>
            <w:shd w:val="clear" w:color="auto" w:fill="auto"/>
            <w:tcMar>
              <w:top w:w="57" w:type="dxa"/>
              <w:bottom w:w="57" w:type="dxa"/>
            </w:tcMar>
          </w:tcPr>
          <w:p w14:paraId="5238DA7D" w14:textId="77777777" w:rsidR="00DC1835" w:rsidRDefault="004C0BC3" w:rsidP="004C0BC3">
            <w:pPr>
              <w:tabs>
                <w:tab w:val="num" w:pos="720"/>
                <w:tab w:val="center" w:pos="3152"/>
              </w:tabs>
              <w:rPr>
                <w:rFonts w:cs="Arial"/>
                <w:sz w:val="16"/>
                <w:szCs w:val="16"/>
                <w:lang w:val="en-US"/>
              </w:rPr>
            </w:pPr>
            <w:r>
              <w:rPr>
                <w:rFonts w:cs="Arial"/>
                <w:szCs w:val="19"/>
                <w:lang w:val="en-US"/>
              </w:rPr>
              <w:t>F</w:t>
            </w:r>
            <w:r w:rsidRPr="00991D58">
              <w:rPr>
                <w:rFonts w:cs="Arial"/>
                <w:szCs w:val="19"/>
                <w:lang w:val="en-US"/>
              </w:rPr>
              <w:t xml:space="preserve">or paediatric patients with Gaucher disease type 1 </w:t>
            </w:r>
            <w:r>
              <w:rPr>
                <w:rFonts w:cs="Arial"/>
                <w:szCs w:val="19"/>
                <w:lang w:val="en-US"/>
              </w:rPr>
              <w:t>aged ≥</w:t>
            </w:r>
            <w:r w:rsidRPr="00991D58">
              <w:rPr>
                <w:rFonts w:cs="Arial"/>
                <w:szCs w:val="19"/>
                <w:lang w:val="en-US"/>
              </w:rPr>
              <w:t xml:space="preserve">6 years with a minimum body weight of 15kg, who are stable on enzyme replacement therapy, and who are CYP2D6 poor </w:t>
            </w:r>
            <w:proofErr w:type="spellStart"/>
            <w:r w:rsidRPr="00991D58">
              <w:rPr>
                <w:rFonts w:cs="Arial"/>
                <w:szCs w:val="19"/>
                <w:lang w:val="en-US"/>
              </w:rPr>
              <w:t>metabolisers</w:t>
            </w:r>
            <w:proofErr w:type="spellEnd"/>
            <w:r w:rsidRPr="00991D58">
              <w:rPr>
                <w:rFonts w:cs="Arial"/>
                <w:szCs w:val="19"/>
                <w:lang w:val="en-US"/>
              </w:rPr>
              <w:t xml:space="preserve">, intermediate </w:t>
            </w:r>
            <w:proofErr w:type="spellStart"/>
            <w:r w:rsidRPr="00991D58">
              <w:rPr>
                <w:rFonts w:cs="Arial"/>
                <w:szCs w:val="19"/>
                <w:lang w:val="en-US"/>
              </w:rPr>
              <w:t>metabolisers</w:t>
            </w:r>
            <w:proofErr w:type="spellEnd"/>
            <w:r w:rsidRPr="00991D58">
              <w:rPr>
                <w:rFonts w:cs="Arial"/>
                <w:szCs w:val="19"/>
                <w:lang w:val="en-US"/>
              </w:rPr>
              <w:t xml:space="preserve"> or extensive </w:t>
            </w:r>
            <w:proofErr w:type="spellStart"/>
            <w:r w:rsidRPr="00991D58">
              <w:rPr>
                <w:rFonts w:cs="Arial"/>
                <w:szCs w:val="19"/>
                <w:lang w:val="en-US"/>
              </w:rPr>
              <w:t>metabolisers</w:t>
            </w:r>
            <w:proofErr w:type="spellEnd"/>
            <w:r>
              <w:rPr>
                <w:rFonts w:cs="Arial"/>
                <w:szCs w:val="19"/>
                <w:lang w:val="en-US"/>
              </w:rPr>
              <w:t xml:space="preserve"> </w:t>
            </w:r>
            <w:r w:rsidRPr="00991D58">
              <w:rPr>
                <w:rFonts w:cs="Arial"/>
                <w:sz w:val="16"/>
                <w:szCs w:val="16"/>
                <w:lang w:val="en-US"/>
              </w:rPr>
              <w:t xml:space="preserve">[EU] </w:t>
            </w:r>
          </w:p>
          <w:p w14:paraId="453ECAA2" w14:textId="16B25378" w:rsidR="004C0BC3" w:rsidRPr="00C24A8A" w:rsidRDefault="004C0BC3" w:rsidP="004C0BC3">
            <w:pPr>
              <w:tabs>
                <w:tab w:val="num" w:pos="720"/>
                <w:tab w:val="center" w:pos="3152"/>
              </w:tabs>
              <w:rPr>
                <w:rFonts w:cs="Arial"/>
                <w:szCs w:val="19"/>
                <w:lang w:val="en-US"/>
              </w:rPr>
            </w:pPr>
            <w:r w:rsidRPr="00991D58">
              <w:rPr>
                <w:rFonts w:cs="Arial"/>
                <w:sz w:val="16"/>
                <w:szCs w:val="16"/>
                <w:lang w:val="en-US"/>
              </w:rPr>
              <w:t>[new indication</w:t>
            </w:r>
            <w:r>
              <w:rPr>
                <w:rFonts w:cs="Arial"/>
                <w:sz w:val="16"/>
                <w:szCs w:val="16"/>
                <w:lang w:val="en-US"/>
              </w:rPr>
              <w:t xml:space="preserve"> and new 21mg capsule formulation</w:t>
            </w:r>
            <w:r w:rsidRPr="00991D58">
              <w:rPr>
                <w:rFonts w:cs="Arial"/>
                <w:sz w:val="16"/>
                <w:szCs w:val="16"/>
                <w:lang w:val="en-US"/>
              </w:rPr>
              <w:t>]</w:t>
            </w:r>
          </w:p>
        </w:tc>
      </w:tr>
      <w:tr w:rsidR="004C0BC3" w:rsidRPr="00A075A3" w14:paraId="26332324" w14:textId="77777777" w:rsidTr="007B2FF8">
        <w:tc>
          <w:tcPr>
            <w:tcW w:w="1158" w:type="pct"/>
            <w:gridSpan w:val="2"/>
            <w:shd w:val="clear" w:color="auto" w:fill="auto"/>
            <w:tcMar>
              <w:top w:w="57" w:type="dxa"/>
              <w:bottom w:w="57" w:type="dxa"/>
            </w:tcMar>
          </w:tcPr>
          <w:p w14:paraId="16795908" w14:textId="60F8AE53" w:rsidR="004C0BC3" w:rsidRPr="00B378AA" w:rsidRDefault="004C0BC3" w:rsidP="004C0BC3">
            <w:pPr>
              <w:rPr>
                <w:rFonts w:cs="Arial"/>
                <w:szCs w:val="19"/>
              </w:rPr>
            </w:pPr>
            <w:proofErr w:type="spellStart"/>
            <w:r w:rsidRPr="00C24A8A">
              <w:rPr>
                <w:rFonts w:cs="Arial"/>
                <w:szCs w:val="19"/>
              </w:rPr>
              <w:t>Eplontersen</w:t>
            </w:r>
            <w:proofErr w:type="spellEnd"/>
            <w:r>
              <w:rPr>
                <w:rFonts w:cs="Arial"/>
                <w:szCs w:val="19"/>
              </w:rPr>
              <w:t xml:space="preserve"> (</w:t>
            </w:r>
            <w:proofErr w:type="spellStart"/>
            <w:r>
              <w:rPr>
                <w:rFonts w:cs="Arial"/>
                <w:i/>
                <w:iCs/>
                <w:szCs w:val="19"/>
              </w:rPr>
              <w:t>Wainzua</w:t>
            </w:r>
            <w:proofErr w:type="spellEnd"/>
            <w:r>
              <w:rPr>
                <w:rFonts w:cs="Arial"/>
                <w:szCs w:val="19"/>
              </w:rPr>
              <w:t>)</w:t>
            </w:r>
          </w:p>
        </w:tc>
        <w:tc>
          <w:tcPr>
            <w:tcW w:w="3842" w:type="pct"/>
            <w:shd w:val="clear" w:color="auto" w:fill="auto"/>
            <w:tcMar>
              <w:top w:w="57" w:type="dxa"/>
              <w:bottom w:w="57" w:type="dxa"/>
            </w:tcMar>
          </w:tcPr>
          <w:p w14:paraId="48595588" w14:textId="3F448D8E" w:rsidR="004C0BC3" w:rsidRPr="00B378AA" w:rsidRDefault="004C0BC3" w:rsidP="004C0BC3">
            <w:pPr>
              <w:tabs>
                <w:tab w:val="num" w:pos="720"/>
                <w:tab w:val="center" w:pos="3152"/>
              </w:tabs>
              <w:rPr>
                <w:rFonts w:cs="Arial"/>
                <w:szCs w:val="19"/>
                <w:lang w:val="en-US"/>
              </w:rPr>
            </w:pPr>
            <w:r w:rsidRPr="00C24A8A">
              <w:rPr>
                <w:rFonts w:cs="Arial"/>
                <w:szCs w:val="19"/>
                <w:lang w:val="en-US"/>
              </w:rPr>
              <w:t>Treatment of hereditary transthyretin-mediated amyloidosis in adults with Stage 1 and 2 polyneuropathy</w:t>
            </w:r>
            <w:r>
              <w:rPr>
                <w:rFonts w:cs="Arial"/>
                <w:szCs w:val="19"/>
                <w:lang w:val="en-US"/>
              </w:rPr>
              <w:t xml:space="preserve"> </w:t>
            </w:r>
            <w:r w:rsidRPr="00277E05">
              <w:rPr>
                <w:rFonts w:cs="Arial"/>
                <w:sz w:val="16"/>
                <w:szCs w:val="16"/>
                <w:lang w:val="en-US"/>
              </w:rPr>
              <w:t>[EU]</w:t>
            </w:r>
          </w:p>
        </w:tc>
      </w:tr>
      <w:tr w:rsidR="004C0BC3" w:rsidRPr="00A075A3" w14:paraId="415D2F53" w14:textId="77777777" w:rsidTr="007B2FF8">
        <w:tc>
          <w:tcPr>
            <w:tcW w:w="1158" w:type="pct"/>
            <w:gridSpan w:val="2"/>
            <w:shd w:val="clear" w:color="auto" w:fill="auto"/>
            <w:tcMar>
              <w:top w:w="57" w:type="dxa"/>
              <w:bottom w:w="57" w:type="dxa"/>
            </w:tcMar>
          </w:tcPr>
          <w:p w14:paraId="24676376" w14:textId="45A264CE" w:rsidR="004C0BC3" w:rsidRPr="000B5695" w:rsidRDefault="004C0BC3" w:rsidP="004C0BC3">
            <w:pPr>
              <w:rPr>
                <w:rFonts w:cs="Arial"/>
                <w:szCs w:val="19"/>
              </w:rPr>
            </w:pPr>
            <w:r w:rsidRPr="00B378AA">
              <w:rPr>
                <w:rFonts w:cs="Arial"/>
                <w:szCs w:val="19"/>
              </w:rPr>
              <w:t>Influenza vaccine </w:t>
            </w:r>
            <w:r>
              <w:rPr>
                <w:rFonts w:cs="Arial"/>
                <w:szCs w:val="19"/>
              </w:rPr>
              <w:t>(</w:t>
            </w:r>
            <w:r>
              <w:rPr>
                <w:rFonts w:cs="Arial"/>
                <w:i/>
                <w:iCs/>
                <w:szCs w:val="19"/>
              </w:rPr>
              <w:t>Fluad</w:t>
            </w:r>
            <w:r>
              <w:rPr>
                <w:rFonts w:cs="Arial"/>
                <w:szCs w:val="19"/>
              </w:rPr>
              <w:t>)</w:t>
            </w:r>
          </w:p>
        </w:tc>
        <w:tc>
          <w:tcPr>
            <w:tcW w:w="3842" w:type="pct"/>
            <w:shd w:val="clear" w:color="auto" w:fill="auto"/>
            <w:tcMar>
              <w:top w:w="57" w:type="dxa"/>
              <w:bottom w:w="57" w:type="dxa"/>
            </w:tcMar>
          </w:tcPr>
          <w:p w14:paraId="2D5F701F" w14:textId="0202149F" w:rsidR="004C0BC3" w:rsidRDefault="004C0BC3" w:rsidP="004C0BC3">
            <w:pPr>
              <w:tabs>
                <w:tab w:val="num" w:pos="720"/>
                <w:tab w:val="center" w:pos="3152"/>
              </w:tabs>
              <w:rPr>
                <w:rFonts w:cs="Arial"/>
                <w:szCs w:val="19"/>
                <w:lang w:val="en-US"/>
              </w:rPr>
            </w:pPr>
            <w:r w:rsidRPr="00B378AA">
              <w:rPr>
                <w:rFonts w:cs="Arial"/>
                <w:szCs w:val="19"/>
                <w:lang w:val="en-US"/>
              </w:rPr>
              <w:t xml:space="preserve">Prophylaxis of influenza in adults </w:t>
            </w:r>
            <w:r>
              <w:rPr>
                <w:rFonts w:cs="Arial"/>
                <w:szCs w:val="19"/>
                <w:lang w:val="en-US"/>
              </w:rPr>
              <w:t>aged ≥</w:t>
            </w:r>
            <w:r w:rsidRPr="00B378AA">
              <w:rPr>
                <w:rFonts w:cs="Arial"/>
                <w:szCs w:val="19"/>
                <w:lang w:val="en-US"/>
              </w:rPr>
              <w:t>50 years</w:t>
            </w:r>
            <w:r>
              <w:rPr>
                <w:rFonts w:cs="Arial"/>
                <w:szCs w:val="19"/>
                <w:lang w:val="en-US"/>
              </w:rPr>
              <w:t xml:space="preserve"> </w:t>
            </w:r>
            <w:r w:rsidRPr="00277E05">
              <w:rPr>
                <w:rFonts w:cs="Arial"/>
                <w:sz w:val="16"/>
                <w:szCs w:val="16"/>
                <w:lang w:val="en-US"/>
              </w:rPr>
              <w:t>[EU]</w:t>
            </w:r>
          </w:p>
        </w:tc>
      </w:tr>
      <w:tr w:rsidR="004C0BC3" w:rsidRPr="00A075A3" w14:paraId="0357C97D" w14:textId="77777777" w:rsidTr="007B2FF8">
        <w:tc>
          <w:tcPr>
            <w:tcW w:w="1158" w:type="pct"/>
            <w:gridSpan w:val="2"/>
            <w:shd w:val="clear" w:color="auto" w:fill="auto"/>
            <w:tcMar>
              <w:top w:w="57" w:type="dxa"/>
              <w:bottom w:w="57" w:type="dxa"/>
            </w:tcMar>
          </w:tcPr>
          <w:p w14:paraId="6B14AB21" w14:textId="24DDCCD0" w:rsidR="004C0BC3" w:rsidRPr="000B5695" w:rsidRDefault="004C0BC3" w:rsidP="004C0BC3">
            <w:pPr>
              <w:rPr>
                <w:rFonts w:cs="Arial"/>
                <w:szCs w:val="19"/>
              </w:rPr>
            </w:pPr>
            <w:r w:rsidRPr="00B378AA">
              <w:rPr>
                <w:rFonts w:cs="Arial"/>
                <w:szCs w:val="19"/>
              </w:rPr>
              <w:t>Influenza vaccine </w:t>
            </w:r>
            <w:r>
              <w:rPr>
                <w:rFonts w:cs="Arial"/>
                <w:szCs w:val="19"/>
              </w:rPr>
              <w:t>(</w:t>
            </w:r>
            <w:r>
              <w:rPr>
                <w:rFonts w:cs="Arial"/>
                <w:i/>
                <w:iCs/>
                <w:szCs w:val="19"/>
              </w:rPr>
              <w:t>Flucelvax</w:t>
            </w:r>
            <w:r>
              <w:rPr>
                <w:rFonts w:cs="Arial"/>
                <w:szCs w:val="19"/>
              </w:rPr>
              <w:t>)</w:t>
            </w:r>
          </w:p>
        </w:tc>
        <w:tc>
          <w:tcPr>
            <w:tcW w:w="3842" w:type="pct"/>
            <w:shd w:val="clear" w:color="auto" w:fill="auto"/>
            <w:tcMar>
              <w:top w:w="57" w:type="dxa"/>
              <w:bottom w:w="57" w:type="dxa"/>
            </w:tcMar>
          </w:tcPr>
          <w:p w14:paraId="12F6062E" w14:textId="6C07121E" w:rsidR="004C0BC3" w:rsidRDefault="004C0BC3" w:rsidP="004C0BC3">
            <w:pPr>
              <w:tabs>
                <w:tab w:val="num" w:pos="720"/>
                <w:tab w:val="center" w:pos="3152"/>
              </w:tabs>
              <w:rPr>
                <w:rFonts w:cs="Arial"/>
                <w:szCs w:val="19"/>
                <w:lang w:val="en-US"/>
              </w:rPr>
            </w:pPr>
            <w:r w:rsidRPr="00B378AA">
              <w:rPr>
                <w:rFonts w:cs="Arial"/>
                <w:szCs w:val="19"/>
                <w:lang w:val="en-US"/>
              </w:rPr>
              <w:t xml:space="preserve">Prophylaxis of influenza in adults </w:t>
            </w:r>
            <w:r>
              <w:rPr>
                <w:rFonts w:cs="Arial"/>
                <w:szCs w:val="19"/>
                <w:lang w:val="en-US"/>
              </w:rPr>
              <w:t>and children aged ≥2</w:t>
            </w:r>
            <w:r w:rsidRPr="00B378AA">
              <w:rPr>
                <w:rFonts w:cs="Arial"/>
                <w:szCs w:val="19"/>
                <w:lang w:val="en-US"/>
              </w:rPr>
              <w:t xml:space="preserve"> years</w:t>
            </w:r>
            <w:r>
              <w:rPr>
                <w:rFonts w:cs="Arial"/>
                <w:szCs w:val="19"/>
                <w:lang w:val="en-US"/>
              </w:rPr>
              <w:t xml:space="preserve"> </w:t>
            </w:r>
            <w:r w:rsidRPr="00277E05">
              <w:rPr>
                <w:rFonts w:cs="Arial"/>
                <w:sz w:val="16"/>
                <w:szCs w:val="16"/>
                <w:lang w:val="en-US"/>
              </w:rPr>
              <w:t>[EU]</w:t>
            </w:r>
          </w:p>
        </w:tc>
      </w:tr>
      <w:tr w:rsidR="004C0BC3" w:rsidRPr="00A075A3" w14:paraId="7A915A41" w14:textId="77777777" w:rsidTr="007B2FF8">
        <w:tc>
          <w:tcPr>
            <w:tcW w:w="1158" w:type="pct"/>
            <w:gridSpan w:val="2"/>
            <w:shd w:val="clear" w:color="auto" w:fill="auto"/>
            <w:tcMar>
              <w:top w:w="57" w:type="dxa"/>
              <w:bottom w:w="57" w:type="dxa"/>
            </w:tcMar>
          </w:tcPr>
          <w:p w14:paraId="65D96367" w14:textId="27CC5676" w:rsidR="004C0BC3" w:rsidRDefault="004C0BC3" w:rsidP="004C0BC3">
            <w:pPr>
              <w:rPr>
                <w:rFonts w:cs="Arial"/>
                <w:szCs w:val="19"/>
              </w:rPr>
            </w:pPr>
            <w:proofErr w:type="spellStart"/>
            <w:r w:rsidRPr="000B5695">
              <w:rPr>
                <w:rFonts w:cs="Arial"/>
                <w:szCs w:val="19"/>
              </w:rPr>
              <w:t>Linzagolix</w:t>
            </w:r>
            <w:proofErr w:type="spellEnd"/>
            <w:r>
              <w:rPr>
                <w:rFonts w:cs="Arial"/>
                <w:szCs w:val="19"/>
              </w:rPr>
              <w:t xml:space="preserve"> (</w:t>
            </w:r>
            <w:proofErr w:type="spellStart"/>
            <w:r>
              <w:rPr>
                <w:rFonts w:cs="Arial"/>
                <w:i/>
                <w:iCs/>
                <w:szCs w:val="19"/>
              </w:rPr>
              <w:t>Yselty</w:t>
            </w:r>
            <w:proofErr w:type="spellEnd"/>
            <w:r>
              <w:rPr>
                <w:rFonts w:cs="Arial"/>
                <w:szCs w:val="19"/>
              </w:rPr>
              <w:t>)</w:t>
            </w:r>
          </w:p>
        </w:tc>
        <w:tc>
          <w:tcPr>
            <w:tcW w:w="3842" w:type="pct"/>
            <w:shd w:val="clear" w:color="auto" w:fill="auto"/>
            <w:tcMar>
              <w:top w:w="57" w:type="dxa"/>
              <w:bottom w:w="57" w:type="dxa"/>
            </w:tcMar>
          </w:tcPr>
          <w:p w14:paraId="5FC7443A" w14:textId="651DAAC2" w:rsidR="004C0BC3" w:rsidRDefault="004C0BC3" w:rsidP="004C0BC3">
            <w:pPr>
              <w:tabs>
                <w:tab w:val="num" w:pos="720"/>
                <w:tab w:val="center" w:pos="3152"/>
              </w:tabs>
              <w:rPr>
                <w:rFonts w:cs="Arial"/>
                <w:szCs w:val="19"/>
                <w:lang w:val="en-US"/>
              </w:rPr>
            </w:pPr>
            <w:r>
              <w:rPr>
                <w:rFonts w:cs="Arial"/>
                <w:szCs w:val="19"/>
                <w:lang w:val="en-US"/>
              </w:rPr>
              <w:t xml:space="preserve">Use </w:t>
            </w:r>
            <w:r w:rsidRPr="000B5695">
              <w:rPr>
                <w:rFonts w:cs="Arial"/>
                <w:szCs w:val="19"/>
                <w:lang w:val="en-US"/>
              </w:rPr>
              <w:t>in adult women of reproductive age for symptomatic treatment of endometriosis in women with a history of previous medical or surgical treatment for their endometriosis</w:t>
            </w:r>
            <w:r>
              <w:rPr>
                <w:rFonts w:cs="Arial"/>
                <w:szCs w:val="19"/>
                <w:lang w:val="en-US"/>
              </w:rPr>
              <w:t xml:space="preserve"> </w:t>
            </w:r>
            <w:r w:rsidRPr="00277E05">
              <w:rPr>
                <w:rFonts w:cs="Arial"/>
                <w:sz w:val="16"/>
                <w:szCs w:val="16"/>
                <w:lang w:val="en-US"/>
              </w:rPr>
              <w:t>[EU]</w:t>
            </w:r>
            <w:r>
              <w:rPr>
                <w:rFonts w:cs="Arial"/>
                <w:sz w:val="16"/>
                <w:szCs w:val="16"/>
                <w:lang w:val="en-US"/>
              </w:rPr>
              <w:t xml:space="preserve"> [new indication]</w:t>
            </w:r>
          </w:p>
        </w:tc>
      </w:tr>
      <w:tr w:rsidR="004C0BC3" w:rsidRPr="00A075A3" w14:paraId="523997B7" w14:textId="77777777" w:rsidTr="007B2FF8">
        <w:tc>
          <w:tcPr>
            <w:tcW w:w="1158" w:type="pct"/>
            <w:gridSpan w:val="2"/>
            <w:shd w:val="clear" w:color="auto" w:fill="auto"/>
            <w:tcMar>
              <w:top w:w="57" w:type="dxa"/>
              <w:bottom w:w="57" w:type="dxa"/>
            </w:tcMar>
          </w:tcPr>
          <w:p w14:paraId="5140F529" w14:textId="455EF5CC" w:rsidR="004C0BC3" w:rsidRDefault="004C0BC3" w:rsidP="004C0BC3">
            <w:pPr>
              <w:rPr>
                <w:rFonts w:cs="Arial"/>
                <w:szCs w:val="19"/>
              </w:rPr>
            </w:pPr>
            <w:proofErr w:type="spellStart"/>
            <w:r>
              <w:rPr>
                <w:rFonts w:cs="Arial"/>
                <w:szCs w:val="19"/>
              </w:rPr>
              <w:t>Ribociclib</w:t>
            </w:r>
            <w:proofErr w:type="spellEnd"/>
            <w:r>
              <w:rPr>
                <w:rFonts w:cs="Arial"/>
                <w:szCs w:val="19"/>
              </w:rPr>
              <w:t xml:space="preserve"> (</w:t>
            </w:r>
            <w:proofErr w:type="spellStart"/>
            <w:r>
              <w:rPr>
                <w:rFonts w:cs="Arial"/>
                <w:i/>
                <w:iCs/>
                <w:szCs w:val="19"/>
              </w:rPr>
              <w:t>Kisqali</w:t>
            </w:r>
            <w:proofErr w:type="spellEnd"/>
            <w:r>
              <w:rPr>
                <w:rFonts w:cs="Arial"/>
                <w:szCs w:val="19"/>
              </w:rPr>
              <w:t>)</w:t>
            </w:r>
          </w:p>
        </w:tc>
        <w:tc>
          <w:tcPr>
            <w:tcW w:w="3842" w:type="pct"/>
            <w:shd w:val="clear" w:color="auto" w:fill="auto"/>
            <w:tcMar>
              <w:top w:w="57" w:type="dxa"/>
              <w:bottom w:w="57" w:type="dxa"/>
            </w:tcMar>
          </w:tcPr>
          <w:p w14:paraId="014E879B" w14:textId="77777777" w:rsidR="004C0BC3" w:rsidRDefault="004C0BC3" w:rsidP="004C0BC3">
            <w:pPr>
              <w:tabs>
                <w:tab w:val="num" w:pos="720"/>
                <w:tab w:val="center" w:pos="3152"/>
              </w:tabs>
              <w:rPr>
                <w:rFonts w:cs="Arial"/>
                <w:sz w:val="16"/>
                <w:szCs w:val="16"/>
                <w:lang w:val="en-US"/>
              </w:rPr>
            </w:pPr>
            <w:r>
              <w:rPr>
                <w:rFonts w:cs="Arial"/>
                <w:szCs w:val="19"/>
                <w:lang w:val="en-US"/>
              </w:rPr>
              <w:t>Use i</w:t>
            </w:r>
            <w:r w:rsidRPr="00AF6DB5">
              <w:rPr>
                <w:rFonts w:cs="Arial"/>
                <w:szCs w:val="19"/>
                <w:lang w:val="en-US"/>
              </w:rPr>
              <w:t xml:space="preserve">n combination with an aromatase inhibitor for the adjuvant treatment of patients with hormone receptor-positive, human epidermal growth factor receptor 2-negative early breast cancer at high risk of recurrence. In pre- or perimenopausal women, or in men, the aromatase inhibitor should be combined with a </w:t>
            </w:r>
            <w:proofErr w:type="spellStart"/>
            <w:r w:rsidRPr="00AF6DB5">
              <w:rPr>
                <w:rFonts w:cs="Arial"/>
                <w:szCs w:val="19"/>
                <w:lang w:val="en-US"/>
              </w:rPr>
              <w:t>luteinising</w:t>
            </w:r>
            <w:proofErr w:type="spellEnd"/>
            <w:r w:rsidRPr="00AF6DB5">
              <w:rPr>
                <w:rFonts w:cs="Arial"/>
                <w:szCs w:val="19"/>
                <w:lang w:val="en-US"/>
              </w:rPr>
              <w:t xml:space="preserve"> hormone-releasing hormone agonist</w:t>
            </w:r>
            <w:r>
              <w:rPr>
                <w:rFonts w:cs="Arial"/>
                <w:szCs w:val="19"/>
                <w:lang w:val="en-US"/>
              </w:rPr>
              <w:t xml:space="preserve"> </w:t>
            </w:r>
            <w:r w:rsidRPr="00AF6DB5">
              <w:rPr>
                <w:rFonts w:cs="Arial"/>
                <w:sz w:val="16"/>
                <w:szCs w:val="16"/>
                <w:lang w:val="en-US"/>
              </w:rPr>
              <w:t xml:space="preserve">[EU] </w:t>
            </w:r>
          </w:p>
          <w:p w14:paraId="440A17A3" w14:textId="66666571" w:rsidR="004C0BC3" w:rsidRPr="006F7F92" w:rsidRDefault="004C0BC3" w:rsidP="004C0BC3">
            <w:pPr>
              <w:tabs>
                <w:tab w:val="num" w:pos="720"/>
                <w:tab w:val="center" w:pos="3152"/>
              </w:tabs>
              <w:rPr>
                <w:rFonts w:cs="Arial"/>
                <w:szCs w:val="19"/>
                <w:lang w:val="en-US"/>
              </w:rPr>
            </w:pPr>
            <w:r w:rsidRPr="00AF6DB5">
              <w:rPr>
                <w:rFonts w:cs="Arial"/>
                <w:sz w:val="16"/>
                <w:szCs w:val="16"/>
                <w:lang w:val="en-US"/>
              </w:rPr>
              <w:t>[new indication]</w:t>
            </w:r>
          </w:p>
        </w:tc>
      </w:tr>
      <w:tr w:rsidR="004C0BC3" w:rsidRPr="00A075A3" w14:paraId="5BA6BAF2" w14:textId="77777777" w:rsidTr="007B2FF8">
        <w:tc>
          <w:tcPr>
            <w:tcW w:w="1158" w:type="pct"/>
            <w:gridSpan w:val="2"/>
            <w:shd w:val="clear" w:color="auto" w:fill="auto"/>
            <w:tcMar>
              <w:top w:w="57" w:type="dxa"/>
              <w:bottom w:w="57" w:type="dxa"/>
            </w:tcMar>
          </w:tcPr>
          <w:p w14:paraId="0DF83DBF" w14:textId="20ECF589" w:rsidR="004C0BC3" w:rsidRDefault="004C0BC3" w:rsidP="004C0BC3">
            <w:pPr>
              <w:rPr>
                <w:rFonts w:cs="Arial"/>
                <w:szCs w:val="19"/>
              </w:rPr>
            </w:pPr>
            <w:r>
              <w:rPr>
                <w:rFonts w:cs="Arial"/>
                <w:szCs w:val="19"/>
              </w:rPr>
              <w:t>Sarilumab (</w:t>
            </w:r>
            <w:r>
              <w:rPr>
                <w:rFonts w:cs="Arial"/>
                <w:i/>
                <w:iCs/>
                <w:szCs w:val="19"/>
              </w:rPr>
              <w:t>Kevzara</w:t>
            </w:r>
            <w:r>
              <w:rPr>
                <w:rFonts w:cs="Arial"/>
                <w:szCs w:val="19"/>
              </w:rPr>
              <w:t>)</w:t>
            </w:r>
          </w:p>
        </w:tc>
        <w:tc>
          <w:tcPr>
            <w:tcW w:w="3842" w:type="pct"/>
            <w:shd w:val="clear" w:color="auto" w:fill="auto"/>
            <w:tcMar>
              <w:top w:w="57" w:type="dxa"/>
              <w:bottom w:w="57" w:type="dxa"/>
            </w:tcMar>
          </w:tcPr>
          <w:p w14:paraId="07657E30" w14:textId="3D945F2A" w:rsidR="004C0BC3" w:rsidRDefault="004C0BC3" w:rsidP="004C0BC3">
            <w:pPr>
              <w:tabs>
                <w:tab w:val="num" w:pos="720"/>
                <w:tab w:val="center" w:pos="3152"/>
              </w:tabs>
              <w:rPr>
                <w:rFonts w:cs="Arial"/>
                <w:szCs w:val="19"/>
                <w:lang w:val="en-US"/>
              </w:rPr>
            </w:pPr>
            <w:r w:rsidRPr="006F7F92">
              <w:rPr>
                <w:rFonts w:cs="Arial"/>
                <w:szCs w:val="19"/>
                <w:lang w:val="en-US"/>
              </w:rPr>
              <w:t>Treatment of polymyalgia rheumatica in adults who have had an inadequate response to corticosteroids or who experience a relapse during corticosteroid taper</w:t>
            </w:r>
            <w:r>
              <w:rPr>
                <w:rFonts w:cs="Arial"/>
                <w:szCs w:val="19"/>
                <w:lang w:val="en-US"/>
              </w:rPr>
              <w:t xml:space="preserve"> </w:t>
            </w:r>
            <w:r w:rsidRPr="006F7F92">
              <w:rPr>
                <w:rFonts w:cs="Arial"/>
                <w:sz w:val="16"/>
                <w:szCs w:val="16"/>
                <w:lang w:val="en-US"/>
              </w:rPr>
              <w:t>[EU] [new indication]</w:t>
            </w:r>
          </w:p>
        </w:tc>
      </w:tr>
      <w:tr w:rsidR="004C0BC3" w:rsidRPr="00A075A3" w14:paraId="510E6881" w14:textId="77777777" w:rsidTr="007B2FF8">
        <w:tc>
          <w:tcPr>
            <w:tcW w:w="1158" w:type="pct"/>
            <w:gridSpan w:val="2"/>
            <w:shd w:val="clear" w:color="auto" w:fill="auto"/>
            <w:tcMar>
              <w:top w:w="57" w:type="dxa"/>
              <w:bottom w:w="57" w:type="dxa"/>
            </w:tcMar>
          </w:tcPr>
          <w:p w14:paraId="5C8D9B74" w14:textId="0013924C" w:rsidR="004C0BC3" w:rsidRDefault="004C0BC3" w:rsidP="004C0BC3">
            <w:pPr>
              <w:rPr>
                <w:rFonts w:cs="Arial"/>
                <w:szCs w:val="19"/>
              </w:rPr>
            </w:pPr>
            <w:r>
              <w:rPr>
                <w:rFonts w:cs="Arial"/>
                <w:szCs w:val="19"/>
              </w:rPr>
              <w:t>Tislelizumab (</w:t>
            </w:r>
            <w:proofErr w:type="spellStart"/>
            <w:r>
              <w:rPr>
                <w:rFonts w:cs="Arial"/>
                <w:i/>
                <w:iCs/>
                <w:szCs w:val="19"/>
              </w:rPr>
              <w:t>Tevimbra</w:t>
            </w:r>
            <w:proofErr w:type="spellEnd"/>
            <w:r>
              <w:rPr>
                <w:rFonts w:cs="Arial"/>
                <w:szCs w:val="19"/>
              </w:rPr>
              <w:t>)</w:t>
            </w:r>
          </w:p>
        </w:tc>
        <w:tc>
          <w:tcPr>
            <w:tcW w:w="3842" w:type="pct"/>
            <w:shd w:val="clear" w:color="auto" w:fill="auto"/>
            <w:tcMar>
              <w:top w:w="57" w:type="dxa"/>
              <w:bottom w:w="57" w:type="dxa"/>
            </w:tcMar>
          </w:tcPr>
          <w:p w14:paraId="3F91A25C" w14:textId="09E01E64" w:rsidR="004C0BC3" w:rsidRDefault="004C0BC3" w:rsidP="004C0BC3">
            <w:pPr>
              <w:tabs>
                <w:tab w:val="num" w:pos="720"/>
                <w:tab w:val="center" w:pos="3152"/>
              </w:tabs>
              <w:rPr>
                <w:rFonts w:cs="Arial"/>
                <w:szCs w:val="19"/>
                <w:lang w:val="en-US"/>
              </w:rPr>
            </w:pPr>
            <w:r>
              <w:rPr>
                <w:rFonts w:cs="Arial"/>
                <w:szCs w:val="19"/>
                <w:lang w:val="en-US"/>
              </w:rPr>
              <w:t xml:space="preserve">Use in </w:t>
            </w:r>
            <w:r w:rsidRPr="00E22F03">
              <w:rPr>
                <w:rFonts w:cs="Arial"/>
                <w:szCs w:val="19"/>
                <w:lang w:val="en-US"/>
              </w:rPr>
              <w:t>combination with platinum-based chemotherapy</w:t>
            </w:r>
            <w:r>
              <w:rPr>
                <w:rFonts w:cs="Arial"/>
                <w:szCs w:val="19"/>
                <w:lang w:val="en-US"/>
              </w:rPr>
              <w:t xml:space="preserve"> </w:t>
            </w:r>
            <w:r w:rsidRPr="00E22F03">
              <w:rPr>
                <w:rFonts w:cs="Arial"/>
                <w:szCs w:val="19"/>
                <w:lang w:val="en-US"/>
              </w:rPr>
              <w:t xml:space="preserve">for the first-line treatment of adults with unresectable, locally advanced or metastatic </w:t>
            </w:r>
            <w:proofErr w:type="spellStart"/>
            <w:r>
              <w:rPr>
                <w:rFonts w:cs="Arial"/>
                <w:szCs w:val="19"/>
                <w:lang w:val="en-US"/>
              </w:rPr>
              <w:t>o</w:t>
            </w:r>
            <w:r w:rsidRPr="00E22F03">
              <w:rPr>
                <w:rFonts w:cs="Arial"/>
                <w:szCs w:val="19"/>
                <w:lang w:val="en-US"/>
              </w:rPr>
              <w:t>esophageal</w:t>
            </w:r>
            <w:proofErr w:type="spellEnd"/>
            <w:r w:rsidRPr="00E22F03">
              <w:rPr>
                <w:rFonts w:cs="Arial"/>
                <w:szCs w:val="19"/>
                <w:lang w:val="en-US"/>
              </w:rPr>
              <w:t xml:space="preserve"> squamous cell carcinoma whose </w:t>
            </w:r>
            <w:proofErr w:type="spellStart"/>
            <w:r w:rsidRPr="00E22F03">
              <w:rPr>
                <w:rFonts w:cs="Arial"/>
                <w:szCs w:val="19"/>
                <w:lang w:val="en-US"/>
              </w:rPr>
              <w:t>tumours</w:t>
            </w:r>
            <w:proofErr w:type="spellEnd"/>
            <w:r w:rsidRPr="00E22F03">
              <w:rPr>
                <w:rFonts w:cs="Arial"/>
                <w:szCs w:val="19"/>
                <w:lang w:val="en-US"/>
              </w:rPr>
              <w:t xml:space="preserve"> express PD</w:t>
            </w:r>
            <w:r w:rsidRPr="00E22F03">
              <w:rPr>
                <w:rFonts w:ascii="Cambria Math" w:hAnsi="Cambria Math" w:cs="Cambria Math"/>
                <w:szCs w:val="19"/>
                <w:lang w:val="en-US"/>
              </w:rPr>
              <w:t>‑</w:t>
            </w:r>
            <w:r w:rsidRPr="00E22F03">
              <w:rPr>
                <w:rFonts w:cs="Arial"/>
                <w:szCs w:val="19"/>
                <w:lang w:val="en-US"/>
              </w:rPr>
              <w:t>L1 with a tumour area positivity score ≥5%</w:t>
            </w:r>
            <w:r>
              <w:rPr>
                <w:rFonts w:cs="Arial"/>
                <w:szCs w:val="19"/>
                <w:lang w:val="en-US"/>
              </w:rPr>
              <w:t xml:space="preserve"> </w:t>
            </w:r>
            <w:r w:rsidRPr="006F7F92">
              <w:rPr>
                <w:rFonts w:cs="Arial"/>
                <w:sz w:val="16"/>
                <w:szCs w:val="16"/>
                <w:lang w:val="en-US"/>
              </w:rPr>
              <w:t>[EU] [new indication]</w:t>
            </w:r>
          </w:p>
        </w:tc>
      </w:tr>
      <w:tr w:rsidR="004C0BC3" w:rsidRPr="00A075A3" w14:paraId="53549D1B" w14:textId="77777777" w:rsidTr="007B2FF8">
        <w:tc>
          <w:tcPr>
            <w:tcW w:w="1158" w:type="pct"/>
            <w:gridSpan w:val="2"/>
            <w:shd w:val="clear" w:color="auto" w:fill="auto"/>
            <w:tcMar>
              <w:top w:w="57" w:type="dxa"/>
              <w:bottom w:w="57" w:type="dxa"/>
            </w:tcMar>
          </w:tcPr>
          <w:p w14:paraId="245E24F9" w14:textId="5301E0BD" w:rsidR="004C0BC3" w:rsidRDefault="004C0BC3" w:rsidP="004C0BC3">
            <w:pPr>
              <w:rPr>
                <w:rFonts w:cs="Arial"/>
                <w:szCs w:val="19"/>
              </w:rPr>
            </w:pPr>
            <w:r>
              <w:rPr>
                <w:rFonts w:cs="Arial"/>
                <w:szCs w:val="19"/>
              </w:rPr>
              <w:t>Tislelizumab (</w:t>
            </w:r>
            <w:proofErr w:type="spellStart"/>
            <w:r>
              <w:rPr>
                <w:rFonts w:cs="Arial"/>
                <w:i/>
                <w:iCs/>
                <w:szCs w:val="19"/>
              </w:rPr>
              <w:t>Tevimbra</w:t>
            </w:r>
            <w:proofErr w:type="spellEnd"/>
            <w:r>
              <w:rPr>
                <w:rFonts w:cs="Arial"/>
                <w:szCs w:val="19"/>
              </w:rPr>
              <w:t>)</w:t>
            </w:r>
          </w:p>
        </w:tc>
        <w:tc>
          <w:tcPr>
            <w:tcW w:w="3842" w:type="pct"/>
            <w:shd w:val="clear" w:color="auto" w:fill="auto"/>
            <w:tcMar>
              <w:top w:w="57" w:type="dxa"/>
              <w:bottom w:w="57" w:type="dxa"/>
            </w:tcMar>
          </w:tcPr>
          <w:p w14:paraId="4ABD1828" w14:textId="0A1786CF" w:rsidR="004C0BC3" w:rsidRPr="005E45E4" w:rsidRDefault="004C0BC3" w:rsidP="004C0BC3">
            <w:pPr>
              <w:tabs>
                <w:tab w:val="num" w:pos="720"/>
                <w:tab w:val="center" w:pos="3152"/>
              </w:tabs>
              <w:rPr>
                <w:rFonts w:cs="Arial"/>
                <w:szCs w:val="19"/>
                <w:lang w:val="en-US"/>
              </w:rPr>
            </w:pPr>
            <w:r>
              <w:rPr>
                <w:rFonts w:cs="Arial"/>
                <w:szCs w:val="19"/>
                <w:lang w:val="en-US"/>
              </w:rPr>
              <w:t xml:space="preserve">Use </w:t>
            </w:r>
            <w:r w:rsidRPr="00730558">
              <w:rPr>
                <w:rFonts w:cs="Arial"/>
                <w:szCs w:val="19"/>
                <w:lang w:val="en-US"/>
              </w:rPr>
              <w:t>in combination with platinum and fluoropyrimidine-based chemotherapy</w:t>
            </w:r>
            <w:r>
              <w:rPr>
                <w:rFonts w:cs="Arial"/>
                <w:szCs w:val="19"/>
                <w:lang w:val="en-US"/>
              </w:rPr>
              <w:t xml:space="preserve"> </w:t>
            </w:r>
            <w:r w:rsidRPr="00730558">
              <w:rPr>
                <w:rFonts w:cs="Arial"/>
                <w:szCs w:val="19"/>
                <w:lang w:val="en-US"/>
              </w:rPr>
              <w:t xml:space="preserve">for the first-line treatment of adults with </w:t>
            </w:r>
            <w:r w:rsidRPr="00AF6DB5">
              <w:rPr>
                <w:rFonts w:cs="Arial"/>
                <w:szCs w:val="19"/>
                <w:lang w:val="en-US"/>
              </w:rPr>
              <w:t>human epidermal growth factor receptor 2</w:t>
            </w:r>
            <w:r w:rsidRPr="00730558">
              <w:rPr>
                <w:rFonts w:cs="Arial"/>
                <w:szCs w:val="19"/>
                <w:lang w:val="en-US"/>
              </w:rPr>
              <w:t xml:space="preserve">-negative locally advanced unresectable or metastatic gastric or gastroesophageal junction </w:t>
            </w:r>
            <w:r>
              <w:rPr>
                <w:rFonts w:cs="Arial"/>
                <w:szCs w:val="19"/>
                <w:lang w:val="en-US"/>
              </w:rPr>
              <w:t>a</w:t>
            </w:r>
            <w:r w:rsidRPr="00730558">
              <w:rPr>
                <w:rFonts w:cs="Arial"/>
                <w:szCs w:val="19"/>
                <w:lang w:val="en-US"/>
              </w:rPr>
              <w:t xml:space="preserve">denocarcinoma whose </w:t>
            </w:r>
            <w:proofErr w:type="spellStart"/>
            <w:r w:rsidRPr="00730558">
              <w:rPr>
                <w:rFonts w:cs="Arial"/>
                <w:szCs w:val="19"/>
                <w:lang w:val="en-US"/>
              </w:rPr>
              <w:t>tumours</w:t>
            </w:r>
            <w:proofErr w:type="spellEnd"/>
            <w:r w:rsidRPr="00730558">
              <w:rPr>
                <w:rFonts w:cs="Arial"/>
                <w:szCs w:val="19"/>
                <w:lang w:val="en-US"/>
              </w:rPr>
              <w:t xml:space="preserve"> express PD</w:t>
            </w:r>
            <w:r w:rsidRPr="00730558">
              <w:rPr>
                <w:rFonts w:ascii="Cambria Math" w:hAnsi="Cambria Math" w:cs="Cambria Math"/>
                <w:szCs w:val="19"/>
                <w:lang w:val="en-US"/>
              </w:rPr>
              <w:t>‑</w:t>
            </w:r>
            <w:r w:rsidRPr="00730558">
              <w:rPr>
                <w:rFonts w:cs="Arial"/>
                <w:szCs w:val="19"/>
                <w:lang w:val="en-US"/>
              </w:rPr>
              <w:t>L1 with a tumour area positivity score ≥5%</w:t>
            </w:r>
            <w:r>
              <w:rPr>
                <w:rFonts w:cs="Arial"/>
                <w:szCs w:val="19"/>
                <w:lang w:val="en-US"/>
              </w:rPr>
              <w:t xml:space="preserve"> </w:t>
            </w:r>
            <w:r w:rsidRPr="006F7F92">
              <w:rPr>
                <w:rFonts w:cs="Arial"/>
                <w:sz w:val="16"/>
                <w:szCs w:val="16"/>
                <w:lang w:val="en-US"/>
              </w:rPr>
              <w:t>[EU] [new indication]</w:t>
            </w:r>
          </w:p>
        </w:tc>
      </w:tr>
      <w:tr w:rsidR="004C0BC3" w:rsidRPr="00A075A3" w14:paraId="54EF4C2E" w14:textId="77777777" w:rsidTr="007B2FF8">
        <w:tc>
          <w:tcPr>
            <w:tcW w:w="1158" w:type="pct"/>
            <w:gridSpan w:val="2"/>
            <w:shd w:val="clear" w:color="auto" w:fill="auto"/>
            <w:tcMar>
              <w:top w:w="57" w:type="dxa"/>
              <w:bottom w:w="57" w:type="dxa"/>
            </w:tcMar>
          </w:tcPr>
          <w:p w14:paraId="1DCEE421" w14:textId="77777777" w:rsidR="004C0BC3" w:rsidRPr="00E411E8" w:rsidRDefault="004C0BC3" w:rsidP="004C0BC3">
            <w:pPr>
              <w:rPr>
                <w:rFonts w:cs="Arial"/>
                <w:szCs w:val="19"/>
              </w:rPr>
            </w:pPr>
            <w:r>
              <w:rPr>
                <w:rFonts w:cs="Arial"/>
                <w:szCs w:val="19"/>
              </w:rPr>
              <w:t>Ustekinumab biosimilar (</w:t>
            </w:r>
            <w:proofErr w:type="spellStart"/>
            <w:r>
              <w:rPr>
                <w:rFonts w:cs="Arial"/>
                <w:i/>
                <w:iCs/>
                <w:szCs w:val="19"/>
              </w:rPr>
              <w:t>Absimky</w:t>
            </w:r>
            <w:proofErr w:type="spellEnd"/>
            <w:r>
              <w:rPr>
                <w:rFonts w:cs="Arial"/>
                <w:szCs w:val="19"/>
              </w:rPr>
              <w:t>)</w:t>
            </w:r>
          </w:p>
        </w:tc>
        <w:tc>
          <w:tcPr>
            <w:tcW w:w="3842" w:type="pct"/>
            <w:shd w:val="clear" w:color="auto" w:fill="auto"/>
            <w:tcMar>
              <w:top w:w="57" w:type="dxa"/>
              <w:bottom w:w="57" w:type="dxa"/>
            </w:tcMar>
          </w:tcPr>
          <w:p w14:paraId="2512951D" w14:textId="77777777" w:rsidR="004C0BC3" w:rsidRDefault="004C0BC3" w:rsidP="004C0BC3">
            <w:pPr>
              <w:tabs>
                <w:tab w:val="num" w:pos="720"/>
                <w:tab w:val="center" w:pos="3152"/>
              </w:tabs>
              <w:rPr>
                <w:rFonts w:cs="Arial"/>
                <w:szCs w:val="19"/>
                <w:lang w:val="en-US"/>
              </w:rPr>
            </w:pPr>
            <w:r w:rsidRPr="008472DD">
              <w:rPr>
                <w:rFonts w:cs="Arial"/>
                <w:szCs w:val="19"/>
                <w:lang w:val="en-US"/>
              </w:rPr>
              <w:t xml:space="preserve">Treatment of moderate to severe plaque psoriasis in adults who failed to respond to, or who have a contraindication to, or are intolerant to other systemic therapies including ciclosporin, methotrexate (MTX) or psoralen and ultraviolet A; treatment of moderate to severe plaque psoriasis in children and adolescents aged ≥6 years, who are inadequately controlled by, or are intolerant to, other systemic therapies or phototherapies; alone or in combination with MTX, for the treatment of active psoriatic arthritis in adults when the response to previous non-biological disease-modifying anti-rheumatic drug therapy has been inadequate; treatment of adults with moderately to severely active Crohn’s disease who have had an inadequate response with, lost response to, or were intolerant to either conventional therapy or a TNFα antagonist or have medical contraindications to such therapies; and treatment of adults with moderately to severely active ulcerative colitis who have had an inadequate response with, lost response to, or were intolerant to either conventional therapy or a biologic or have medical contraindications to such therapies </w:t>
            </w:r>
            <w:r w:rsidRPr="008472DD">
              <w:rPr>
                <w:rFonts w:cs="Arial"/>
                <w:sz w:val="16"/>
                <w:szCs w:val="16"/>
                <w:lang w:val="en-US"/>
              </w:rPr>
              <w:t>[EU]</w:t>
            </w:r>
          </w:p>
        </w:tc>
      </w:tr>
      <w:tr w:rsidR="004C0BC3" w:rsidRPr="00A075A3" w14:paraId="737EC915" w14:textId="77777777" w:rsidTr="007B2FF8">
        <w:tc>
          <w:tcPr>
            <w:tcW w:w="1158" w:type="pct"/>
            <w:gridSpan w:val="2"/>
            <w:shd w:val="clear" w:color="auto" w:fill="auto"/>
            <w:tcMar>
              <w:top w:w="57" w:type="dxa"/>
              <w:bottom w:w="57" w:type="dxa"/>
            </w:tcMar>
          </w:tcPr>
          <w:p w14:paraId="7B4A67F5" w14:textId="77777777" w:rsidR="004C0BC3" w:rsidRPr="005E45E4" w:rsidRDefault="004C0BC3" w:rsidP="004C0BC3">
            <w:pPr>
              <w:rPr>
                <w:rFonts w:cs="Arial"/>
                <w:szCs w:val="19"/>
              </w:rPr>
            </w:pPr>
            <w:r>
              <w:rPr>
                <w:rFonts w:cs="Arial"/>
                <w:szCs w:val="19"/>
              </w:rPr>
              <w:t>Ustekinumab biosimilar (</w:t>
            </w:r>
            <w:proofErr w:type="spellStart"/>
            <w:r>
              <w:rPr>
                <w:rFonts w:cs="Arial"/>
                <w:i/>
                <w:iCs/>
                <w:szCs w:val="19"/>
              </w:rPr>
              <w:t>Imuldosa</w:t>
            </w:r>
            <w:proofErr w:type="spellEnd"/>
            <w:r>
              <w:rPr>
                <w:rFonts w:cs="Arial"/>
                <w:szCs w:val="19"/>
              </w:rPr>
              <w:t>)</w:t>
            </w:r>
          </w:p>
        </w:tc>
        <w:tc>
          <w:tcPr>
            <w:tcW w:w="3842" w:type="pct"/>
            <w:shd w:val="clear" w:color="auto" w:fill="auto"/>
            <w:tcMar>
              <w:top w:w="57" w:type="dxa"/>
              <w:bottom w:w="57" w:type="dxa"/>
            </w:tcMar>
          </w:tcPr>
          <w:p w14:paraId="70832DBE" w14:textId="77777777" w:rsidR="004C0BC3" w:rsidRDefault="004C0BC3" w:rsidP="004C0BC3">
            <w:pPr>
              <w:tabs>
                <w:tab w:val="num" w:pos="720"/>
                <w:tab w:val="center" w:pos="3152"/>
              </w:tabs>
              <w:rPr>
                <w:rFonts w:cs="Arial"/>
                <w:szCs w:val="19"/>
                <w:lang w:val="en-US"/>
              </w:rPr>
            </w:pPr>
            <w:r w:rsidRPr="005C6246">
              <w:rPr>
                <w:rFonts w:cs="Arial"/>
                <w:szCs w:val="19"/>
                <w:lang w:val="en-US"/>
              </w:rPr>
              <w:t>Treatment of moderate to severe plaque psoriasis in adults who failed to respond to, or who have a contraindication to, or are intolerant to other systemic therapies including ciclosporin, methotrexate (MTX) or psoralen and ultraviolet A</w:t>
            </w:r>
            <w:r>
              <w:rPr>
                <w:rFonts w:cs="Arial"/>
                <w:szCs w:val="19"/>
                <w:lang w:val="en-US"/>
              </w:rPr>
              <w:t>;</w:t>
            </w:r>
            <w:r w:rsidRPr="005C6246">
              <w:rPr>
                <w:rFonts w:cs="Arial"/>
                <w:szCs w:val="19"/>
                <w:lang w:val="en-US"/>
              </w:rPr>
              <w:t xml:space="preserve"> treatment of moderate to severe plaque psoriasis in children and adolescents age</w:t>
            </w:r>
            <w:r>
              <w:rPr>
                <w:rFonts w:cs="Arial"/>
                <w:szCs w:val="19"/>
                <w:lang w:val="en-US"/>
              </w:rPr>
              <w:t>d</w:t>
            </w:r>
            <w:r w:rsidRPr="005C6246">
              <w:rPr>
                <w:rFonts w:cs="Arial"/>
                <w:szCs w:val="19"/>
                <w:lang w:val="en-US"/>
              </w:rPr>
              <w:t xml:space="preserve"> </w:t>
            </w:r>
            <w:r>
              <w:rPr>
                <w:rFonts w:cs="Arial"/>
                <w:szCs w:val="19"/>
                <w:lang w:val="en-US"/>
              </w:rPr>
              <w:t>≥</w:t>
            </w:r>
            <w:r w:rsidRPr="005C6246">
              <w:rPr>
                <w:rFonts w:cs="Arial"/>
                <w:szCs w:val="19"/>
                <w:lang w:val="en-US"/>
              </w:rPr>
              <w:t>6 years, who are inadequately controlled by, or are intolerant to, other systemic therapies or phototherapies</w:t>
            </w:r>
            <w:r>
              <w:rPr>
                <w:rFonts w:cs="Arial"/>
                <w:szCs w:val="19"/>
                <w:lang w:val="en-US"/>
              </w:rPr>
              <w:t>;</w:t>
            </w:r>
            <w:r w:rsidRPr="005C6246">
              <w:rPr>
                <w:rFonts w:cs="Arial"/>
                <w:szCs w:val="19"/>
                <w:lang w:val="en-US"/>
              </w:rPr>
              <w:t xml:space="preserve"> alone or in combination with MTX</w:t>
            </w:r>
            <w:r>
              <w:rPr>
                <w:rFonts w:cs="Arial"/>
                <w:szCs w:val="19"/>
                <w:lang w:val="en-US"/>
              </w:rPr>
              <w:t>,</w:t>
            </w:r>
            <w:r w:rsidRPr="005C6246">
              <w:rPr>
                <w:rFonts w:cs="Arial"/>
                <w:szCs w:val="19"/>
                <w:lang w:val="en-US"/>
              </w:rPr>
              <w:t xml:space="preserve"> for the treatment of active psoriatic arthritis in adults when the response to previous non-biological disease-modifying anti-rheumatic drug therapy has been inadequate</w:t>
            </w:r>
            <w:r>
              <w:rPr>
                <w:rFonts w:cs="Arial"/>
                <w:szCs w:val="19"/>
                <w:lang w:val="en-US"/>
              </w:rPr>
              <w:t>;</w:t>
            </w:r>
            <w:r w:rsidRPr="005C6246">
              <w:rPr>
                <w:rFonts w:cs="Arial"/>
                <w:szCs w:val="19"/>
                <w:lang w:val="en-US"/>
              </w:rPr>
              <w:t xml:space="preserve"> and treatment of adults with moderately to severely active Crohn’s disease who have had an inadequate response with, lost response to, or were intolerant to either conventional therapy or a TNFα antagonist or have medical contraindications to such therapies</w:t>
            </w:r>
            <w:r>
              <w:rPr>
                <w:rFonts w:cs="Arial"/>
                <w:szCs w:val="19"/>
                <w:lang w:val="en-US"/>
              </w:rPr>
              <w:t xml:space="preserve"> </w:t>
            </w:r>
            <w:r w:rsidRPr="00277E05">
              <w:rPr>
                <w:rFonts w:cs="Arial"/>
                <w:sz w:val="16"/>
                <w:szCs w:val="16"/>
                <w:lang w:val="en-US"/>
              </w:rPr>
              <w:t>[EU]</w:t>
            </w:r>
          </w:p>
        </w:tc>
      </w:tr>
      <w:tr w:rsidR="004C0BC3" w:rsidRPr="000F19E1" w14:paraId="059DB7C3" w14:textId="77777777" w:rsidTr="007B2FF8">
        <w:tc>
          <w:tcPr>
            <w:tcW w:w="1158" w:type="pct"/>
            <w:gridSpan w:val="2"/>
            <w:shd w:val="clear" w:color="auto" w:fill="auto"/>
            <w:tcMar>
              <w:top w:w="0" w:type="dxa"/>
              <w:bottom w:w="0" w:type="dxa"/>
            </w:tcMar>
          </w:tcPr>
          <w:p w14:paraId="61F51C98" w14:textId="77777777" w:rsidR="004C0BC3" w:rsidRPr="000F19E1" w:rsidRDefault="004C0BC3" w:rsidP="004C0BC3">
            <w:pPr>
              <w:rPr>
                <w:rFonts w:cs="Arial"/>
                <w:bCs/>
                <w:sz w:val="8"/>
                <w:szCs w:val="8"/>
              </w:rPr>
            </w:pPr>
          </w:p>
        </w:tc>
        <w:tc>
          <w:tcPr>
            <w:tcW w:w="3842" w:type="pct"/>
            <w:shd w:val="clear" w:color="auto" w:fill="auto"/>
            <w:tcMar>
              <w:top w:w="0" w:type="dxa"/>
              <w:bottom w:w="0" w:type="dxa"/>
            </w:tcMar>
          </w:tcPr>
          <w:p w14:paraId="1356D7B3" w14:textId="77777777" w:rsidR="004C0BC3" w:rsidRPr="000F19E1" w:rsidRDefault="004C0BC3" w:rsidP="004C0BC3">
            <w:pPr>
              <w:tabs>
                <w:tab w:val="center" w:pos="3152"/>
              </w:tabs>
              <w:rPr>
                <w:rFonts w:cs="Arial"/>
                <w:sz w:val="8"/>
                <w:szCs w:val="8"/>
                <w:lang w:val="en-US"/>
              </w:rPr>
            </w:pPr>
          </w:p>
        </w:tc>
      </w:tr>
      <w:tr w:rsidR="004C0BC3" w:rsidRPr="000F19E1" w14:paraId="154A3758" w14:textId="77777777" w:rsidTr="0062359B">
        <w:tc>
          <w:tcPr>
            <w:tcW w:w="1152" w:type="pct"/>
            <w:shd w:val="clear" w:color="auto" w:fill="DAEEF3"/>
            <w:tcMar>
              <w:top w:w="0" w:type="dxa"/>
              <w:bottom w:w="0" w:type="dxa"/>
            </w:tcMar>
          </w:tcPr>
          <w:p w14:paraId="0E9F5D21" w14:textId="77777777" w:rsidR="004C0BC3" w:rsidRPr="000F19E1" w:rsidRDefault="004C0BC3" w:rsidP="004C0BC3">
            <w:pPr>
              <w:rPr>
                <w:rFonts w:cs="Arial"/>
                <w:bCs/>
                <w:sz w:val="8"/>
                <w:szCs w:val="8"/>
              </w:rPr>
            </w:pPr>
          </w:p>
        </w:tc>
        <w:tc>
          <w:tcPr>
            <w:tcW w:w="3848" w:type="pct"/>
            <w:gridSpan w:val="2"/>
            <w:shd w:val="clear" w:color="auto" w:fill="DAEEF3"/>
            <w:tcMar>
              <w:top w:w="0" w:type="dxa"/>
              <w:bottom w:w="0" w:type="dxa"/>
            </w:tcMar>
          </w:tcPr>
          <w:p w14:paraId="12C471B0" w14:textId="77777777" w:rsidR="004C0BC3" w:rsidRPr="000F19E1" w:rsidRDefault="004C0BC3" w:rsidP="004C0BC3">
            <w:pPr>
              <w:tabs>
                <w:tab w:val="center" w:pos="3152"/>
              </w:tabs>
              <w:rPr>
                <w:rFonts w:cs="Arial"/>
                <w:sz w:val="8"/>
                <w:szCs w:val="8"/>
                <w:lang w:val="en-US"/>
              </w:rPr>
            </w:pPr>
          </w:p>
        </w:tc>
      </w:tr>
    </w:tbl>
    <w:p w14:paraId="1F0F357C" w14:textId="77777777" w:rsidR="004C0BC3" w:rsidRDefault="004C0BC3">
      <w:r>
        <w:br w:type="page"/>
      </w:r>
    </w:p>
    <w:p w14:paraId="20FF7865" w14:textId="77777777" w:rsidR="005A08D3" w:rsidRDefault="005A08D3"/>
    <w:tbl>
      <w:tblPr>
        <w:tblW w:w="5170" w:type="pct"/>
        <w:tblInd w:w="-176" w:type="dxa"/>
        <w:tblLayout w:type="fixed"/>
        <w:tblLook w:val="01E0" w:firstRow="1" w:lastRow="1" w:firstColumn="1" w:lastColumn="1" w:noHBand="0" w:noVBand="0"/>
      </w:tblPr>
      <w:tblGrid>
        <w:gridCol w:w="2585"/>
        <w:gridCol w:w="7966"/>
      </w:tblGrid>
      <w:tr w:rsidR="005A08D3" w:rsidRPr="00862949" w14:paraId="25B90FE9" w14:textId="77777777" w:rsidTr="00054B3D">
        <w:tc>
          <w:tcPr>
            <w:tcW w:w="5000" w:type="pct"/>
            <w:gridSpan w:val="2"/>
            <w:shd w:val="clear" w:color="auto" w:fill="0070C0"/>
            <w:tcMar>
              <w:top w:w="85" w:type="dxa"/>
              <w:bottom w:w="85" w:type="dxa"/>
            </w:tcMar>
            <w:vAlign w:val="bottom"/>
          </w:tcPr>
          <w:p w14:paraId="03BA8626" w14:textId="77777777" w:rsidR="005A08D3" w:rsidRPr="00862949" w:rsidRDefault="005A08D3" w:rsidP="00054B3D">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5A08D3" w:rsidRPr="000F19E1" w14:paraId="59C8C2E1" w14:textId="77777777" w:rsidTr="00645D22">
        <w:tc>
          <w:tcPr>
            <w:tcW w:w="1225" w:type="pct"/>
            <w:shd w:val="clear" w:color="auto" w:fill="DAEEF3"/>
            <w:tcMar>
              <w:top w:w="0" w:type="dxa"/>
              <w:bottom w:w="0" w:type="dxa"/>
            </w:tcMar>
          </w:tcPr>
          <w:p w14:paraId="47A428A6" w14:textId="77777777" w:rsidR="005A08D3" w:rsidRPr="000F19E1" w:rsidRDefault="005A08D3" w:rsidP="00054B3D">
            <w:pPr>
              <w:rPr>
                <w:rFonts w:cs="Arial"/>
                <w:bCs/>
                <w:sz w:val="8"/>
                <w:szCs w:val="8"/>
              </w:rPr>
            </w:pPr>
          </w:p>
        </w:tc>
        <w:tc>
          <w:tcPr>
            <w:tcW w:w="3775" w:type="pct"/>
            <w:shd w:val="clear" w:color="auto" w:fill="DAEEF3"/>
            <w:tcMar>
              <w:top w:w="0" w:type="dxa"/>
              <w:bottom w:w="0" w:type="dxa"/>
            </w:tcMar>
          </w:tcPr>
          <w:p w14:paraId="7FB83B52" w14:textId="77777777" w:rsidR="005A08D3" w:rsidRPr="000F19E1" w:rsidRDefault="005A08D3" w:rsidP="00054B3D">
            <w:pPr>
              <w:tabs>
                <w:tab w:val="center" w:pos="3152"/>
              </w:tabs>
              <w:rPr>
                <w:rFonts w:cs="Arial"/>
                <w:sz w:val="8"/>
                <w:szCs w:val="8"/>
                <w:lang w:val="en-US"/>
              </w:rPr>
            </w:pPr>
          </w:p>
        </w:tc>
      </w:tr>
      <w:tr w:rsidR="005A08D3" w:rsidRPr="00433D3E" w14:paraId="5836D4A4" w14:textId="77777777" w:rsidTr="0062359B">
        <w:tc>
          <w:tcPr>
            <w:tcW w:w="5000" w:type="pct"/>
            <w:gridSpan w:val="2"/>
            <w:shd w:val="clear" w:color="auto" w:fill="00B050"/>
            <w:tcMar>
              <w:top w:w="57" w:type="dxa"/>
              <w:bottom w:w="57" w:type="dxa"/>
            </w:tcMar>
          </w:tcPr>
          <w:p w14:paraId="5B39EC9B" w14:textId="727C4600" w:rsidR="005A08D3" w:rsidRPr="00433D3E" w:rsidRDefault="005A08D3" w:rsidP="005A08D3">
            <w:pPr>
              <w:rPr>
                <w:rFonts w:cs="Arial"/>
                <w:noProof/>
                <w:color w:val="FFFFFF"/>
                <w:sz w:val="16"/>
                <w:szCs w:val="16"/>
              </w:rPr>
            </w:pPr>
            <w:r w:rsidRPr="00433D3E">
              <w:rPr>
                <w:rFonts w:cs="Arial"/>
                <w:b/>
                <w:bCs/>
                <w:i/>
                <w:iCs/>
                <w:color w:val="FFFFFF"/>
                <w:sz w:val="22"/>
                <w:szCs w:val="20"/>
                <w:lang w:val="en-US"/>
              </w:rPr>
              <w:t xml:space="preserve">Filed for approval in 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4C0BC3" w:rsidRPr="00A075A3" w14:paraId="74D81664" w14:textId="77777777" w:rsidTr="00645D22">
        <w:tc>
          <w:tcPr>
            <w:tcW w:w="1225" w:type="pct"/>
            <w:shd w:val="clear" w:color="auto" w:fill="auto"/>
            <w:tcMar>
              <w:top w:w="57" w:type="dxa"/>
              <w:bottom w:w="57" w:type="dxa"/>
            </w:tcMar>
          </w:tcPr>
          <w:p w14:paraId="5E2D8EA0" w14:textId="1F607251" w:rsidR="004C0BC3" w:rsidRPr="009C623B" w:rsidRDefault="004C0BC3" w:rsidP="004C0BC3">
            <w:pPr>
              <w:rPr>
                <w:rFonts w:cs="Arial"/>
                <w:szCs w:val="19"/>
              </w:rPr>
            </w:pPr>
            <w:r>
              <w:rPr>
                <w:rFonts w:cs="Arial"/>
                <w:szCs w:val="19"/>
              </w:rPr>
              <w:t>Aflibercept biosimilar – AVT06</w:t>
            </w:r>
          </w:p>
        </w:tc>
        <w:tc>
          <w:tcPr>
            <w:tcW w:w="3775" w:type="pct"/>
            <w:shd w:val="clear" w:color="auto" w:fill="auto"/>
            <w:tcMar>
              <w:top w:w="57" w:type="dxa"/>
              <w:bottom w:w="57" w:type="dxa"/>
            </w:tcMar>
          </w:tcPr>
          <w:p w14:paraId="14C56C4A" w14:textId="520E44B9" w:rsidR="004C0BC3" w:rsidRPr="009C623B" w:rsidRDefault="004C0BC3" w:rsidP="004C0BC3">
            <w:pPr>
              <w:tabs>
                <w:tab w:val="center" w:pos="3152"/>
              </w:tabs>
              <w:rPr>
                <w:rFonts w:cs="Arial"/>
                <w:szCs w:val="19"/>
                <w:lang w:val="en-US"/>
              </w:rPr>
            </w:pPr>
            <w:r>
              <w:rPr>
                <w:rFonts w:cs="Arial"/>
                <w:szCs w:val="19"/>
                <w:lang w:val="en-US"/>
              </w:rPr>
              <w:t>Wet a</w:t>
            </w:r>
            <w:r w:rsidRPr="00CB4840">
              <w:rPr>
                <w:rFonts w:cs="Arial"/>
                <w:szCs w:val="19"/>
                <w:lang w:val="en-US"/>
              </w:rPr>
              <w:t xml:space="preserve">ge-related macular degeneration and other </w:t>
            </w:r>
            <w:r w:rsidRPr="00CB4840">
              <w:rPr>
                <w:rFonts w:cs="Arial"/>
                <w:i/>
                <w:iCs/>
                <w:szCs w:val="19"/>
                <w:lang w:val="en-US"/>
              </w:rPr>
              <w:t>Eylea</w:t>
            </w:r>
            <w:r w:rsidRPr="00CB4840">
              <w:rPr>
                <w:rFonts w:cs="Arial"/>
                <w:szCs w:val="19"/>
                <w:lang w:val="en-US"/>
              </w:rPr>
              <w:t xml:space="preserve"> indications </w:t>
            </w:r>
            <w:r>
              <w:rPr>
                <w:rFonts w:cs="Arial"/>
                <w:szCs w:val="19"/>
                <w:lang w:val="en-US"/>
              </w:rPr>
              <w:t xml:space="preserve">– to be confirmed </w:t>
            </w:r>
            <w:r w:rsidRPr="009C623B">
              <w:rPr>
                <w:rFonts w:cs="Arial"/>
                <w:sz w:val="16"/>
                <w:szCs w:val="16"/>
                <w:lang w:val="en-US"/>
              </w:rPr>
              <w:t>[EU]</w:t>
            </w:r>
          </w:p>
        </w:tc>
      </w:tr>
      <w:tr w:rsidR="004C0BC3" w:rsidRPr="00A075A3" w14:paraId="32FC46CA" w14:textId="77777777" w:rsidTr="00645D22">
        <w:tc>
          <w:tcPr>
            <w:tcW w:w="1225" w:type="pct"/>
            <w:shd w:val="clear" w:color="auto" w:fill="auto"/>
            <w:tcMar>
              <w:top w:w="57" w:type="dxa"/>
              <w:bottom w:w="57" w:type="dxa"/>
            </w:tcMar>
          </w:tcPr>
          <w:p w14:paraId="20DFED6C" w14:textId="086F48FF" w:rsidR="004C0BC3" w:rsidRPr="009C623B" w:rsidRDefault="004C0BC3" w:rsidP="004C0BC3">
            <w:pPr>
              <w:rPr>
                <w:rFonts w:cs="Arial"/>
                <w:szCs w:val="19"/>
              </w:rPr>
            </w:pPr>
            <w:r w:rsidRPr="002B3819">
              <w:rPr>
                <w:rFonts w:cs="Arial"/>
                <w:szCs w:val="19"/>
              </w:rPr>
              <w:t>Daratumumab</w:t>
            </w:r>
            <w:r>
              <w:rPr>
                <w:rFonts w:cs="Arial"/>
                <w:szCs w:val="19"/>
              </w:rPr>
              <w:t xml:space="preserve"> (</w:t>
            </w:r>
            <w:proofErr w:type="spellStart"/>
            <w:r>
              <w:rPr>
                <w:rFonts w:cs="Arial"/>
                <w:i/>
                <w:iCs/>
                <w:szCs w:val="19"/>
              </w:rPr>
              <w:t>Darzalex</w:t>
            </w:r>
            <w:proofErr w:type="spellEnd"/>
            <w:r>
              <w:rPr>
                <w:rFonts w:cs="Arial"/>
                <w:szCs w:val="19"/>
              </w:rPr>
              <w:t>)</w:t>
            </w:r>
          </w:p>
        </w:tc>
        <w:tc>
          <w:tcPr>
            <w:tcW w:w="3775" w:type="pct"/>
            <w:shd w:val="clear" w:color="auto" w:fill="auto"/>
            <w:tcMar>
              <w:top w:w="57" w:type="dxa"/>
              <w:bottom w:w="57" w:type="dxa"/>
            </w:tcMar>
          </w:tcPr>
          <w:p w14:paraId="49A3FBB6" w14:textId="305025AC" w:rsidR="004C0BC3" w:rsidRPr="009C623B" w:rsidRDefault="004C0BC3" w:rsidP="004C0BC3">
            <w:pPr>
              <w:tabs>
                <w:tab w:val="center" w:pos="3152"/>
              </w:tabs>
              <w:rPr>
                <w:rFonts w:cs="Arial"/>
                <w:szCs w:val="19"/>
                <w:lang w:val="en-US"/>
              </w:rPr>
            </w:pPr>
            <w:r w:rsidRPr="002B3819">
              <w:rPr>
                <w:rFonts w:cs="Arial"/>
                <w:szCs w:val="19"/>
                <w:lang w:val="en-US"/>
              </w:rPr>
              <w:t>Use in combination with bortezomib, lenalidomide, and dexamethasone for the treatment of adults with newly diagnosed multiple myeloma</w:t>
            </w:r>
            <w:r>
              <w:rPr>
                <w:rFonts w:cs="Arial"/>
                <w:szCs w:val="19"/>
                <w:lang w:val="en-US"/>
              </w:rPr>
              <w:t xml:space="preserve"> </w:t>
            </w:r>
            <w:r w:rsidRPr="002B3819">
              <w:rPr>
                <w:rFonts w:cs="Arial"/>
                <w:sz w:val="16"/>
                <w:szCs w:val="16"/>
                <w:lang w:val="en-US"/>
              </w:rPr>
              <w:t>[EU] [new indication]</w:t>
            </w:r>
          </w:p>
        </w:tc>
      </w:tr>
      <w:tr w:rsidR="004C0BC3" w:rsidRPr="00A075A3" w14:paraId="632A4344" w14:textId="77777777" w:rsidTr="00645D22">
        <w:tc>
          <w:tcPr>
            <w:tcW w:w="1225" w:type="pct"/>
            <w:shd w:val="clear" w:color="auto" w:fill="auto"/>
            <w:tcMar>
              <w:top w:w="57" w:type="dxa"/>
              <w:bottom w:w="57" w:type="dxa"/>
            </w:tcMar>
          </w:tcPr>
          <w:p w14:paraId="1B87ACF3" w14:textId="2138FC75" w:rsidR="004C0BC3" w:rsidRPr="000249F1" w:rsidRDefault="004C0BC3" w:rsidP="004C0BC3">
            <w:pPr>
              <w:rPr>
                <w:rFonts w:cs="Arial"/>
                <w:szCs w:val="19"/>
              </w:rPr>
            </w:pPr>
            <w:r w:rsidRPr="009C623B">
              <w:rPr>
                <w:rFonts w:cs="Arial"/>
                <w:szCs w:val="19"/>
              </w:rPr>
              <w:t xml:space="preserve">Denosumab biosimilar </w:t>
            </w:r>
            <w:r>
              <w:rPr>
                <w:rFonts w:cs="Arial"/>
                <w:szCs w:val="19"/>
              </w:rPr>
              <w:t>– A</w:t>
            </w:r>
            <w:r w:rsidRPr="009C623B">
              <w:rPr>
                <w:rFonts w:cs="Arial"/>
                <w:szCs w:val="19"/>
              </w:rPr>
              <w:t>VT03</w:t>
            </w:r>
          </w:p>
        </w:tc>
        <w:tc>
          <w:tcPr>
            <w:tcW w:w="3775" w:type="pct"/>
            <w:shd w:val="clear" w:color="auto" w:fill="auto"/>
            <w:tcMar>
              <w:top w:w="57" w:type="dxa"/>
              <w:bottom w:w="57" w:type="dxa"/>
            </w:tcMar>
          </w:tcPr>
          <w:p w14:paraId="3F02A2BF" w14:textId="2239E5A7" w:rsidR="004C0BC3" w:rsidRDefault="004C0BC3" w:rsidP="004C0BC3">
            <w:pPr>
              <w:tabs>
                <w:tab w:val="center" w:pos="3152"/>
              </w:tabs>
              <w:rPr>
                <w:rFonts w:cs="Arial"/>
                <w:szCs w:val="19"/>
                <w:lang w:val="en-US"/>
              </w:rPr>
            </w:pPr>
            <w:r w:rsidRPr="009C623B">
              <w:rPr>
                <w:rFonts w:cs="Arial"/>
                <w:szCs w:val="19"/>
                <w:lang w:val="en-US"/>
              </w:rPr>
              <w:t xml:space="preserve">Postmenopausal osteoporosis </w:t>
            </w:r>
            <w:r w:rsidRPr="009C623B">
              <w:rPr>
                <w:rFonts w:cs="Arial"/>
                <w:szCs w:val="19"/>
                <w:lang w:val="en-US"/>
              </w:rPr>
              <w:tab/>
              <w:t xml:space="preserve">and other </w:t>
            </w:r>
            <w:r w:rsidRPr="009C623B">
              <w:rPr>
                <w:rFonts w:cs="Arial"/>
                <w:i/>
                <w:iCs/>
                <w:szCs w:val="19"/>
                <w:lang w:val="en-US"/>
              </w:rPr>
              <w:t>Prolia</w:t>
            </w:r>
            <w:r w:rsidRPr="009C623B">
              <w:rPr>
                <w:rFonts w:cs="Arial"/>
                <w:szCs w:val="19"/>
                <w:lang w:val="en-US"/>
              </w:rPr>
              <w:t xml:space="preserve"> indications</w:t>
            </w:r>
            <w:r>
              <w:rPr>
                <w:rFonts w:cs="Arial"/>
                <w:szCs w:val="19"/>
                <w:lang w:val="en-US"/>
              </w:rPr>
              <w:t xml:space="preserve"> </w:t>
            </w:r>
            <w:r w:rsidRPr="009C623B">
              <w:rPr>
                <w:rFonts w:cs="Arial"/>
                <w:sz w:val="16"/>
                <w:szCs w:val="16"/>
                <w:lang w:val="en-US"/>
              </w:rPr>
              <w:t>[EU]</w:t>
            </w:r>
          </w:p>
        </w:tc>
      </w:tr>
      <w:tr w:rsidR="004C0BC3" w:rsidRPr="00A075A3" w14:paraId="6955708B" w14:textId="77777777" w:rsidTr="00645D22">
        <w:tc>
          <w:tcPr>
            <w:tcW w:w="1225" w:type="pct"/>
            <w:shd w:val="clear" w:color="auto" w:fill="auto"/>
            <w:tcMar>
              <w:top w:w="57" w:type="dxa"/>
              <w:bottom w:w="57" w:type="dxa"/>
            </w:tcMar>
          </w:tcPr>
          <w:p w14:paraId="67636549" w14:textId="222C06A5" w:rsidR="004C0BC3" w:rsidRPr="000249F1" w:rsidRDefault="004C0BC3" w:rsidP="004C0BC3">
            <w:pPr>
              <w:rPr>
                <w:rFonts w:cs="Arial"/>
                <w:szCs w:val="19"/>
              </w:rPr>
            </w:pPr>
            <w:r w:rsidRPr="009C623B">
              <w:rPr>
                <w:rFonts w:cs="Arial"/>
                <w:szCs w:val="19"/>
              </w:rPr>
              <w:t xml:space="preserve">Denosumab biosimilar </w:t>
            </w:r>
            <w:r>
              <w:rPr>
                <w:rFonts w:cs="Arial"/>
                <w:szCs w:val="19"/>
              </w:rPr>
              <w:t>– A</w:t>
            </w:r>
            <w:r w:rsidRPr="009C623B">
              <w:rPr>
                <w:rFonts w:cs="Arial"/>
                <w:szCs w:val="19"/>
              </w:rPr>
              <w:t>VT03</w:t>
            </w:r>
          </w:p>
        </w:tc>
        <w:tc>
          <w:tcPr>
            <w:tcW w:w="3775" w:type="pct"/>
            <w:shd w:val="clear" w:color="auto" w:fill="auto"/>
            <w:tcMar>
              <w:top w:w="57" w:type="dxa"/>
              <w:bottom w:w="57" w:type="dxa"/>
            </w:tcMar>
          </w:tcPr>
          <w:p w14:paraId="6B319CB3" w14:textId="0E07ACA7" w:rsidR="004C0BC3" w:rsidRDefault="004C0BC3" w:rsidP="004C0BC3">
            <w:pPr>
              <w:tabs>
                <w:tab w:val="center" w:pos="3152"/>
              </w:tabs>
              <w:rPr>
                <w:rFonts w:cs="Arial"/>
                <w:szCs w:val="19"/>
                <w:lang w:val="en-US"/>
              </w:rPr>
            </w:pPr>
            <w:r w:rsidRPr="009C623B">
              <w:rPr>
                <w:rFonts w:cs="Arial"/>
                <w:szCs w:val="19"/>
                <w:lang w:val="en-US"/>
              </w:rPr>
              <w:t xml:space="preserve">Prevention of skeletal related events in adults with advanced malignancies involving bone and other </w:t>
            </w:r>
            <w:proofErr w:type="spellStart"/>
            <w:r w:rsidRPr="009C623B">
              <w:rPr>
                <w:rFonts w:cs="Arial"/>
                <w:i/>
                <w:iCs/>
                <w:szCs w:val="19"/>
                <w:lang w:val="en-US"/>
              </w:rPr>
              <w:t>Xgeva</w:t>
            </w:r>
            <w:proofErr w:type="spellEnd"/>
            <w:r w:rsidRPr="009C623B">
              <w:rPr>
                <w:rFonts w:cs="Arial"/>
                <w:szCs w:val="19"/>
                <w:lang w:val="en-US"/>
              </w:rPr>
              <w:t xml:space="preserve"> indications </w:t>
            </w:r>
            <w:r w:rsidRPr="009C623B">
              <w:rPr>
                <w:rFonts w:cs="Arial"/>
                <w:sz w:val="16"/>
                <w:szCs w:val="16"/>
                <w:lang w:val="en-US"/>
              </w:rPr>
              <w:t>[EU]</w:t>
            </w:r>
          </w:p>
        </w:tc>
      </w:tr>
      <w:tr w:rsidR="004C0BC3" w:rsidRPr="00A075A3" w14:paraId="4A629614" w14:textId="77777777" w:rsidTr="00645D22">
        <w:tc>
          <w:tcPr>
            <w:tcW w:w="1225" w:type="pct"/>
            <w:shd w:val="clear" w:color="auto" w:fill="auto"/>
            <w:tcMar>
              <w:top w:w="57" w:type="dxa"/>
              <w:bottom w:w="57" w:type="dxa"/>
            </w:tcMar>
          </w:tcPr>
          <w:p w14:paraId="3A62A879" w14:textId="77777777" w:rsidR="004C0BC3" w:rsidRDefault="004C0BC3" w:rsidP="004C0BC3">
            <w:pPr>
              <w:rPr>
                <w:rFonts w:cs="Arial"/>
                <w:szCs w:val="19"/>
              </w:rPr>
            </w:pPr>
            <w:r w:rsidRPr="000249F1">
              <w:rPr>
                <w:rFonts w:cs="Arial"/>
                <w:szCs w:val="19"/>
              </w:rPr>
              <w:t>Insulin glargine biosimilar </w:t>
            </w:r>
          </w:p>
          <w:p w14:paraId="75E60524" w14:textId="77777777" w:rsidR="004C0BC3" w:rsidRPr="000249F1" w:rsidRDefault="004C0BC3" w:rsidP="004C0BC3">
            <w:pPr>
              <w:rPr>
                <w:rFonts w:cs="Arial"/>
                <w:szCs w:val="19"/>
              </w:rPr>
            </w:pPr>
            <w:r>
              <w:rPr>
                <w:rFonts w:cs="Arial"/>
                <w:szCs w:val="19"/>
              </w:rPr>
              <w:t>(</w:t>
            </w:r>
            <w:proofErr w:type="spellStart"/>
            <w:r>
              <w:rPr>
                <w:rFonts w:cs="Arial"/>
                <w:i/>
                <w:iCs/>
                <w:szCs w:val="19"/>
              </w:rPr>
              <w:t>Basalin</w:t>
            </w:r>
            <w:proofErr w:type="spellEnd"/>
            <w:r>
              <w:rPr>
                <w:rFonts w:cs="Arial"/>
                <w:szCs w:val="19"/>
              </w:rPr>
              <w:t>)</w:t>
            </w:r>
          </w:p>
        </w:tc>
        <w:tc>
          <w:tcPr>
            <w:tcW w:w="3775" w:type="pct"/>
            <w:shd w:val="clear" w:color="auto" w:fill="auto"/>
            <w:tcMar>
              <w:top w:w="57" w:type="dxa"/>
              <w:bottom w:w="57" w:type="dxa"/>
            </w:tcMar>
          </w:tcPr>
          <w:p w14:paraId="14603875" w14:textId="77777777" w:rsidR="004C0BC3" w:rsidRPr="00460B68" w:rsidRDefault="004C0BC3" w:rsidP="004C0BC3">
            <w:pPr>
              <w:tabs>
                <w:tab w:val="center" w:pos="3152"/>
              </w:tabs>
              <w:rPr>
                <w:rFonts w:cs="Arial"/>
                <w:szCs w:val="19"/>
                <w:lang w:val="en-US"/>
              </w:rPr>
            </w:pPr>
            <w:r>
              <w:rPr>
                <w:rFonts w:cs="Arial"/>
                <w:szCs w:val="19"/>
                <w:lang w:val="en-US"/>
              </w:rPr>
              <w:t>Treatment of t</w:t>
            </w:r>
            <w:r w:rsidRPr="000249F1">
              <w:rPr>
                <w:rFonts w:cs="Arial"/>
                <w:szCs w:val="19"/>
                <w:lang w:val="en-US"/>
              </w:rPr>
              <w:t xml:space="preserve">ype 1 and 2 diabetes mellitus </w:t>
            </w:r>
            <w:r>
              <w:rPr>
                <w:rFonts w:cs="Arial"/>
                <w:szCs w:val="19"/>
                <w:lang w:val="en-US"/>
              </w:rPr>
              <w:t>i</w:t>
            </w:r>
            <w:r w:rsidRPr="000249F1">
              <w:rPr>
                <w:rFonts w:cs="Arial"/>
                <w:szCs w:val="19"/>
                <w:lang w:val="en-US"/>
              </w:rPr>
              <w:t xml:space="preserve">n adults, adolescents and children aged </w:t>
            </w:r>
            <w:r>
              <w:rPr>
                <w:rFonts w:cs="Arial"/>
                <w:szCs w:val="19"/>
                <w:lang w:val="en-US"/>
              </w:rPr>
              <w:t>≥</w:t>
            </w:r>
            <w:r w:rsidRPr="000249F1">
              <w:rPr>
                <w:rFonts w:cs="Arial"/>
                <w:szCs w:val="19"/>
                <w:lang w:val="en-US"/>
              </w:rPr>
              <w:t xml:space="preserve">2 years </w:t>
            </w:r>
            <w:r w:rsidRPr="000249F1">
              <w:rPr>
                <w:rFonts w:cs="Arial"/>
                <w:sz w:val="16"/>
                <w:szCs w:val="16"/>
                <w:lang w:val="en-US"/>
              </w:rPr>
              <w:t>[EU]</w:t>
            </w:r>
          </w:p>
        </w:tc>
      </w:tr>
      <w:tr w:rsidR="004C0BC3" w:rsidRPr="00A075A3" w14:paraId="65EFFD2E" w14:textId="77777777" w:rsidTr="00645D22">
        <w:tc>
          <w:tcPr>
            <w:tcW w:w="1225" w:type="pct"/>
            <w:shd w:val="clear" w:color="auto" w:fill="auto"/>
            <w:tcMar>
              <w:top w:w="57" w:type="dxa"/>
              <w:bottom w:w="57" w:type="dxa"/>
            </w:tcMar>
          </w:tcPr>
          <w:p w14:paraId="4324523C" w14:textId="6EDC3985" w:rsidR="004C0BC3" w:rsidRDefault="004C0BC3" w:rsidP="004C0BC3">
            <w:pPr>
              <w:rPr>
                <w:rFonts w:cs="Arial"/>
                <w:szCs w:val="19"/>
              </w:rPr>
            </w:pPr>
            <w:r w:rsidRPr="00A416C1">
              <w:rPr>
                <w:rFonts w:cs="Arial"/>
                <w:szCs w:val="19"/>
              </w:rPr>
              <w:t xml:space="preserve">Insulin lispro biosimilar </w:t>
            </w:r>
            <w:r>
              <w:rPr>
                <w:rFonts w:cs="Arial"/>
                <w:szCs w:val="19"/>
              </w:rPr>
              <w:t>(</w:t>
            </w:r>
            <w:proofErr w:type="spellStart"/>
            <w:r w:rsidRPr="00A416C1">
              <w:rPr>
                <w:rFonts w:cs="Arial"/>
                <w:i/>
                <w:iCs/>
                <w:szCs w:val="19"/>
              </w:rPr>
              <w:t>Prandilin</w:t>
            </w:r>
            <w:proofErr w:type="spellEnd"/>
            <w:r w:rsidRPr="00A416C1">
              <w:rPr>
                <w:rFonts w:cs="Arial"/>
                <w:szCs w:val="19"/>
              </w:rPr>
              <w:t>)</w:t>
            </w:r>
          </w:p>
        </w:tc>
        <w:tc>
          <w:tcPr>
            <w:tcW w:w="3775" w:type="pct"/>
            <w:shd w:val="clear" w:color="auto" w:fill="auto"/>
            <w:tcMar>
              <w:top w:w="57" w:type="dxa"/>
              <w:bottom w:w="57" w:type="dxa"/>
            </w:tcMar>
          </w:tcPr>
          <w:p w14:paraId="6373A0E3" w14:textId="77777777" w:rsidR="004C0BC3" w:rsidRPr="00460B68" w:rsidRDefault="004C0BC3" w:rsidP="004C0BC3">
            <w:pPr>
              <w:tabs>
                <w:tab w:val="center" w:pos="3152"/>
              </w:tabs>
              <w:rPr>
                <w:rFonts w:cs="Arial"/>
                <w:szCs w:val="19"/>
                <w:lang w:val="en-US"/>
              </w:rPr>
            </w:pPr>
            <w:r w:rsidRPr="00A416C1">
              <w:rPr>
                <w:rFonts w:cs="Arial"/>
                <w:szCs w:val="19"/>
                <w:lang w:val="en-US"/>
              </w:rPr>
              <w:t>T</w:t>
            </w:r>
            <w:r>
              <w:rPr>
                <w:rFonts w:cs="Arial"/>
                <w:szCs w:val="19"/>
                <w:lang w:val="en-US"/>
              </w:rPr>
              <w:t>reatment of t</w:t>
            </w:r>
            <w:r w:rsidRPr="00A416C1">
              <w:rPr>
                <w:rFonts w:cs="Arial"/>
                <w:szCs w:val="19"/>
                <w:lang w:val="en-US"/>
              </w:rPr>
              <w:t>ype 1 and 2 diabetes mellitus in adults and children</w:t>
            </w:r>
            <w:r>
              <w:rPr>
                <w:rFonts w:cs="Arial"/>
                <w:szCs w:val="19"/>
                <w:lang w:val="en-US"/>
              </w:rPr>
              <w:t xml:space="preserve"> </w:t>
            </w:r>
            <w:r w:rsidRPr="000249F1">
              <w:rPr>
                <w:rFonts w:cs="Arial"/>
                <w:sz w:val="16"/>
                <w:szCs w:val="16"/>
                <w:lang w:val="en-US"/>
              </w:rPr>
              <w:t>[EU]</w:t>
            </w:r>
          </w:p>
        </w:tc>
      </w:tr>
      <w:tr w:rsidR="004C0BC3" w:rsidRPr="00A075A3" w14:paraId="635B7015" w14:textId="77777777" w:rsidTr="00645D22">
        <w:tc>
          <w:tcPr>
            <w:tcW w:w="1225" w:type="pct"/>
            <w:shd w:val="clear" w:color="auto" w:fill="auto"/>
            <w:tcMar>
              <w:top w:w="57" w:type="dxa"/>
              <w:bottom w:w="57" w:type="dxa"/>
            </w:tcMar>
          </w:tcPr>
          <w:p w14:paraId="42D0A9F3" w14:textId="77777777" w:rsidR="004C0BC3" w:rsidRPr="006E5F66" w:rsidRDefault="004C0BC3" w:rsidP="004C0BC3">
            <w:pPr>
              <w:rPr>
                <w:rFonts w:cs="Arial"/>
                <w:szCs w:val="19"/>
              </w:rPr>
            </w:pPr>
            <w:proofErr w:type="spellStart"/>
            <w:r w:rsidRPr="00C444CE">
              <w:rPr>
                <w:rFonts w:cs="Arial"/>
                <w:szCs w:val="19"/>
              </w:rPr>
              <w:t>Lifileucel</w:t>
            </w:r>
            <w:proofErr w:type="spellEnd"/>
            <w:r>
              <w:rPr>
                <w:rFonts w:cs="Arial"/>
                <w:szCs w:val="19"/>
              </w:rPr>
              <w:t xml:space="preserve"> (</w:t>
            </w:r>
            <w:proofErr w:type="spellStart"/>
            <w:r>
              <w:rPr>
                <w:rFonts w:cs="Arial"/>
                <w:i/>
                <w:iCs/>
                <w:szCs w:val="19"/>
              </w:rPr>
              <w:t>Amtagvi</w:t>
            </w:r>
            <w:proofErr w:type="spellEnd"/>
            <w:r>
              <w:rPr>
                <w:rFonts w:cs="Arial"/>
                <w:szCs w:val="19"/>
              </w:rPr>
              <w:t>)</w:t>
            </w:r>
          </w:p>
        </w:tc>
        <w:tc>
          <w:tcPr>
            <w:tcW w:w="3775" w:type="pct"/>
            <w:shd w:val="clear" w:color="auto" w:fill="auto"/>
            <w:tcMar>
              <w:top w:w="57" w:type="dxa"/>
              <w:bottom w:w="57" w:type="dxa"/>
            </w:tcMar>
          </w:tcPr>
          <w:p w14:paraId="5A1499C1" w14:textId="77777777" w:rsidR="004C0BC3" w:rsidRPr="00460B68" w:rsidRDefault="004C0BC3" w:rsidP="004C0BC3">
            <w:pPr>
              <w:tabs>
                <w:tab w:val="center" w:pos="3152"/>
              </w:tabs>
              <w:rPr>
                <w:rFonts w:cs="Arial"/>
                <w:szCs w:val="19"/>
                <w:lang w:val="en-US"/>
              </w:rPr>
            </w:pPr>
            <w:r>
              <w:rPr>
                <w:rFonts w:cs="Arial"/>
                <w:szCs w:val="19"/>
                <w:lang w:val="en-US"/>
              </w:rPr>
              <w:t>T</w:t>
            </w:r>
            <w:r w:rsidRPr="00C444CE">
              <w:rPr>
                <w:rFonts w:cs="Arial"/>
                <w:szCs w:val="19"/>
                <w:lang w:val="en-US"/>
              </w:rPr>
              <w:t>reatment of unresectable or metastatic melanoma in patients who have previously been treated with at least one systemic therapy, including a PD-1 blocking antibody and if BRAF V600 mutation positive, a BRAF inhibitor or BRAF inhibitor with MEK inhibitor</w:t>
            </w:r>
            <w:r>
              <w:rPr>
                <w:rFonts w:cs="Arial"/>
                <w:szCs w:val="19"/>
                <w:lang w:val="en-US"/>
              </w:rPr>
              <w:t xml:space="preserve"> </w:t>
            </w:r>
            <w:r w:rsidRPr="00C444CE">
              <w:rPr>
                <w:rFonts w:cs="Arial"/>
                <w:sz w:val="16"/>
                <w:szCs w:val="16"/>
                <w:lang w:val="en-US"/>
              </w:rPr>
              <w:t>[EU]</w:t>
            </w:r>
          </w:p>
        </w:tc>
      </w:tr>
      <w:tr w:rsidR="004C0BC3" w:rsidRPr="00A075A3" w14:paraId="2F30FB8C" w14:textId="77777777" w:rsidTr="00645D22">
        <w:tc>
          <w:tcPr>
            <w:tcW w:w="1225" w:type="pct"/>
            <w:shd w:val="clear" w:color="auto" w:fill="auto"/>
            <w:tcMar>
              <w:top w:w="57" w:type="dxa"/>
              <w:bottom w:w="57" w:type="dxa"/>
            </w:tcMar>
          </w:tcPr>
          <w:p w14:paraId="45E7AFD8" w14:textId="77777777" w:rsidR="004C0BC3" w:rsidRPr="002446F5" w:rsidRDefault="004C0BC3" w:rsidP="004C0BC3">
            <w:pPr>
              <w:rPr>
                <w:rFonts w:cs="Arial"/>
                <w:szCs w:val="19"/>
              </w:rPr>
            </w:pPr>
            <w:proofErr w:type="spellStart"/>
            <w:r w:rsidRPr="00551C02">
              <w:rPr>
                <w:rFonts w:cs="Arial"/>
                <w:szCs w:val="19"/>
              </w:rPr>
              <w:t>Nemolizumab</w:t>
            </w:r>
            <w:proofErr w:type="spellEnd"/>
            <w:r w:rsidRPr="00551C02">
              <w:rPr>
                <w:rFonts w:cs="Arial"/>
                <w:szCs w:val="19"/>
              </w:rPr>
              <w:t xml:space="preserve"> (</w:t>
            </w:r>
            <w:proofErr w:type="spellStart"/>
            <w:r w:rsidRPr="00551C02">
              <w:rPr>
                <w:rFonts w:cs="Arial"/>
                <w:i/>
                <w:iCs/>
                <w:szCs w:val="19"/>
              </w:rPr>
              <w:t>Nemluvio</w:t>
            </w:r>
            <w:proofErr w:type="spellEnd"/>
            <w:r w:rsidRPr="00551C02">
              <w:rPr>
                <w:rFonts w:cs="Arial"/>
                <w:szCs w:val="19"/>
              </w:rPr>
              <w:t>)</w:t>
            </w:r>
          </w:p>
        </w:tc>
        <w:tc>
          <w:tcPr>
            <w:tcW w:w="3775" w:type="pct"/>
            <w:shd w:val="clear" w:color="auto" w:fill="auto"/>
            <w:tcMar>
              <w:top w:w="57" w:type="dxa"/>
              <w:bottom w:w="57" w:type="dxa"/>
            </w:tcMar>
          </w:tcPr>
          <w:p w14:paraId="6451BF9E" w14:textId="77777777" w:rsidR="004C0BC3" w:rsidRPr="003F02CB" w:rsidRDefault="004C0BC3" w:rsidP="004C0BC3">
            <w:pPr>
              <w:tabs>
                <w:tab w:val="center" w:pos="3152"/>
              </w:tabs>
              <w:rPr>
                <w:rFonts w:cs="Arial"/>
                <w:szCs w:val="19"/>
                <w:lang w:val="en-US"/>
              </w:rPr>
            </w:pPr>
            <w:r w:rsidRPr="00551C02">
              <w:rPr>
                <w:rFonts w:cs="Arial"/>
                <w:szCs w:val="19"/>
                <w:lang w:val="en-US"/>
              </w:rPr>
              <w:t xml:space="preserve">Moderate to severe </w:t>
            </w:r>
            <w:r>
              <w:rPr>
                <w:rFonts w:cs="Arial"/>
                <w:szCs w:val="19"/>
                <w:lang w:val="en-US"/>
              </w:rPr>
              <w:t>p</w:t>
            </w:r>
            <w:r w:rsidRPr="00551C02">
              <w:rPr>
                <w:rFonts w:cs="Arial"/>
                <w:szCs w:val="19"/>
                <w:lang w:val="en-US"/>
              </w:rPr>
              <w:t>rurigo nodularis in adults</w:t>
            </w:r>
            <w:r>
              <w:rPr>
                <w:rFonts w:cs="Arial"/>
                <w:szCs w:val="19"/>
                <w:lang w:val="en-US"/>
              </w:rPr>
              <w:t xml:space="preserve"> </w:t>
            </w:r>
            <w:r w:rsidRPr="00551C02">
              <w:rPr>
                <w:rFonts w:cs="Arial"/>
                <w:sz w:val="16"/>
                <w:szCs w:val="16"/>
                <w:lang w:val="en-US"/>
              </w:rPr>
              <w:t>[UK]</w:t>
            </w:r>
          </w:p>
        </w:tc>
      </w:tr>
      <w:tr w:rsidR="004C0BC3" w:rsidRPr="00A075A3" w14:paraId="5F44D5A1" w14:textId="77777777" w:rsidTr="00645D22">
        <w:tc>
          <w:tcPr>
            <w:tcW w:w="1225" w:type="pct"/>
            <w:shd w:val="clear" w:color="auto" w:fill="auto"/>
            <w:tcMar>
              <w:top w:w="57" w:type="dxa"/>
              <w:bottom w:w="57" w:type="dxa"/>
            </w:tcMar>
          </w:tcPr>
          <w:p w14:paraId="052EF9F6" w14:textId="77777777" w:rsidR="004C0BC3" w:rsidRDefault="004C0BC3" w:rsidP="004C0BC3">
            <w:pPr>
              <w:rPr>
                <w:rFonts w:cs="Arial"/>
                <w:szCs w:val="19"/>
              </w:rPr>
            </w:pPr>
            <w:r>
              <w:rPr>
                <w:rFonts w:cs="Arial"/>
                <w:szCs w:val="19"/>
              </w:rPr>
              <w:t>Octreotide (</w:t>
            </w:r>
            <w:proofErr w:type="spellStart"/>
            <w:r>
              <w:rPr>
                <w:rFonts w:cs="Arial"/>
                <w:i/>
                <w:iCs/>
                <w:szCs w:val="19"/>
              </w:rPr>
              <w:t>Oclaiz</w:t>
            </w:r>
            <w:proofErr w:type="spellEnd"/>
            <w:r>
              <w:rPr>
                <w:rFonts w:cs="Arial"/>
                <w:szCs w:val="19"/>
              </w:rPr>
              <w:t>)</w:t>
            </w:r>
          </w:p>
        </w:tc>
        <w:tc>
          <w:tcPr>
            <w:tcW w:w="3775" w:type="pct"/>
            <w:shd w:val="clear" w:color="auto" w:fill="auto"/>
            <w:tcMar>
              <w:top w:w="57" w:type="dxa"/>
              <w:bottom w:w="57" w:type="dxa"/>
            </w:tcMar>
          </w:tcPr>
          <w:p w14:paraId="76380C82" w14:textId="77777777" w:rsidR="004C0BC3" w:rsidRPr="00272180" w:rsidRDefault="004C0BC3" w:rsidP="004C0BC3">
            <w:pPr>
              <w:tabs>
                <w:tab w:val="center" w:pos="3152"/>
              </w:tabs>
              <w:rPr>
                <w:rFonts w:cs="Arial"/>
                <w:szCs w:val="19"/>
                <w:lang w:val="en-US"/>
              </w:rPr>
            </w:pPr>
            <w:r>
              <w:rPr>
                <w:rFonts w:cs="Arial"/>
                <w:szCs w:val="19"/>
                <w:lang w:val="en-US"/>
              </w:rPr>
              <w:t xml:space="preserve">Treatment of acromegaly in adults </w:t>
            </w:r>
            <w:r w:rsidRPr="006E5F66">
              <w:rPr>
                <w:rFonts w:cs="Arial"/>
                <w:sz w:val="16"/>
                <w:szCs w:val="16"/>
                <w:lang w:val="en-US"/>
              </w:rPr>
              <w:t>[EU] [new subcutan</w:t>
            </w:r>
            <w:r>
              <w:rPr>
                <w:rFonts w:cs="Arial"/>
                <w:sz w:val="16"/>
                <w:szCs w:val="16"/>
                <w:lang w:val="en-US"/>
              </w:rPr>
              <w:t>e</w:t>
            </w:r>
            <w:r w:rsidRPr="006E5F66">
              <w:rPr>
                <w:rFonts w:cs="Arial"/>
                <w:sz w:val="16"/>
                <w:szCs w:val="16"/>
                <w:lang w:val="en-US"/>
              </w:rPr>
              <w:t>ous formulation]</w:t>
            </w:r>
          </w:p>
        </w:tc>
      </w:tr>
      <w:tr w:rsidR="004C0BC3" w:rsidRPr="000F19E1" w14:paraId="519C45EC" w14:textId="77777777" w:rsidTr="00645D22">
        <w:tc>
          <w:tcPr>
            <w:tcW w:w="1225" w:type="pct"/>
            <w:shd w:val="clear" w:color="auto" w:fill="auto"/>
            <w:tcMar>
              <w:top w:w="0" w:type="dxa"/>
              <w:bottom w:w="0" w:type="dxa"/>
            </w:tcMar>
          </w:tcPr>
          <w:p w14:paraId="6EC46BCF" w14:textId="77777777" w:rsidR="004C0BC3" w:rsidRPr="000F19E1" w:rsidRDefault="004C0BC3" w:rsidP="004C0BC3">
            <w:pPr>
              <w:rPr>
                <w:rFonts w:cs="Arial"/>
                <w:bCs/>
                <w:sz w:val="8"/>
                <w:szCs w:val="8"/>
              </w:rPr>
            </w:pPr>
          </w:p>
        </w:tc>
        <w:tc>
          <w:tcPr>
            <w:tcW w:w="3775" w:type="pct"/>
            <w:shd w:val="clear" w:color="auto" w:fill="auto"/>
            <w:tcMar>
              <w:top w:w="0" w:type="dxa"/>
              <w:bottom w:w="0" w:type="dxa"/>
            </w:tcMar>
          </w:tcPr>
          <w:p w14:paraId="0068DABD" w14:textId="77777777" w:rsidR="004C0BC3" w:rsidRPr="000F19E1" w:rsidRDefault="004C0BC3" w:rsidP="004C0BC3">
            <w:pPr>
              <w:tabs>
                <w:tab w:val="center" w:pos="3152"/>
              </w:tabs>
              <w:rPr>
                <w:rFonts w:cs="Arial"/>
                <w:sz w:val="8"/>
                <w:szCs w:val="8"/>
                <w:lang w:val="en-US"/>
              </w:rPr>
            </w:pPr>
          </w:p>
        </w:tc>
      </w:tr>
      <w:tr w:rsidR="004C0BC3" w:rsidRPr="000F19E1" w14:paraId="43F038D6" w14:textId="77777777" w:rsidTr="00565A41">
        <w:tc>
          <w:tcPr>
            <w:tcW w:w="1225" w:type="pct"/>
            <w:shd w:val="clear" w:color="auto" w:fill="DAEEF3"/>
            <w:tcMar>
              <w:top w:w="0" w:type="dxa"/>
              <w:bottom w:w="0" w:type="dxa"/>
            </w:tcMar>
          </w:tcPr>
          <w:p w14:paraId="73335097" w14:textId="60790B2D" w:rsidR="004C0BC3" w:rsidRPr="000F19E1" w:rsidRDefault="004C0BC3" w:rsidP="004C0BC3">
            <w:pPr>
              <w:rPr>
                <w:rFonts w:cs="Arial"/>
                <w:bCs/>
                <w:sz w:val="8"/>
                <w:szCs w:val="8"/>
              </w:rPr>
            </w:pPr>
            <w:r>
              <w:br w:type="page"/>
            </w:r>
          </w:p>
        </w:tc>
        <w:tc>
          <w:tcPr>
            <w:tcW w:w="3775" w:type="pct"/>
            <w:shd w:val="clear" w:color="auto" w:fill="DAEEF3"/>
            <w:tcMar>
              <w:top w:w="0" w:type="dxa"/>
              <w:bottom w:w="0" w:type="dxa"/>
            </w:tcMar>
          </w:tcPr>
          <w:p w14:paraId="12A7A1A0" w14:textId="77777777" w:rsidR="004C0BC3" w:rsidRPr="000F19E1" w:rsidRDefault="004C0BC3" w:rsidP="004C0BC3">
            <w:pPr>
              <w:tabs>
                <w:tab w:val="center" w:pos="3152"/>
              </w:tabs>
              <w:rPr>
                <w:rFonts w:cs="Arial"/>
                <w:sz w:val="8"/>
                <w:szCs w:val="8"/>
                <w:lang w:val="en-US"/>
              </w:rPr>
            </w:pPr>
          </w:p>
        </w:tc>
      </w:tr>
      <w:tr w:rsidR="004C0BC3" w:rsidRPr="00126CCD" w14:paraId="50AAB9DB" w14:textId="77777777" w:rsidTr="0062359B">
        <w:tc>
          <w:tcPr>
            <w:tcW w:w="5000" w:type="pct"/>
            <w:gridSpan w:val="2"/>
            <w:shd w:val="clear" w:color="auto" w:fill="00B050"/>
            <w:tcMar>
              <w:top w:w="57" w:type="dxa"/>
              <w:bottom w:w="57" w:type="dxa"/>
            </w:tcMar>
          </w:tcPr>
          <w:p w14:paraId="2C298A48" w14:textId="76ECD993" w:rsidR="004C0BC3" w:rsidRPr="004642B4" w:rsidRDefault="004C0BC3" w:rsidP="004C0BC3">
            <w:pPr>
              <w:rPr>
                <w:rFonts w:cs="Arial"/>
                <w:noProof/>
                <w:color w:val="FFFFFF"/>
                <w:sz w:val="16"/>
                <w:szCs w:val="16"/>
              </w:rPr>
            </w:pPr>
            <w:r w:rsidRPr="004642B4">
              <w:rPr>
                <w:rFonts w:cs="Arial"/>
                <w:b/>
                <w:bCs/>
                <w:i/>
                <w:iCs/>
                <w:color w:val="FFFFFF"/>
                <w:sz w:val="22"/>
                <w:szCs w:val="20"/>
                <w:lang w:val="en-US"/>
              </w:rPr>
              <w:t xml:space="preserve">Other </w:t>
            </w:r>
            <w:r>
              <w:rPr>
                <w:rFonts w:cs="Arial"/>
                <w:b/>
                <w:bCs/>
                <w:i/>
                <w:iCs/>
                <w:color w:val="FFFFFF"/>
                <w:sz w:val="22"/>
                <w:szCs w:val="20"/>
                <w:lang w:val="en-US"/>
              </w:rPr>
              <w:t>UK/</w:t>
            </w:r>
            <w:r w:rsidRPr="004642B4">
              <w:rPr>
                <w:rFonts w:cs="Arial"/>
                <w:b/>
                <w:bCs/>
                <w:i/>
                <w:iCs/>
                <w:color w:val="FFFFFF"/>
                <w:sz w:val="22"/>
                <w:szCs w:val="20"/>
                <w:lang w:val="en-US"/>
              </w:rPr>
              <w:t>EU developments</w:t>
            </w:r>
          </w:p>
        </w:tc>
      </w:tr>
      <w:tr w:rsidR="004C0BC3" w14:paraId="631490BB" w14:textId="77777777" w:rsidTr="00565A41">
        <w:tc>
          <w:tcPr>
            <w:tcW w:w="1225" w:type="pct"/>
            <w:shd w:val="clear" w:color="auto" w:fill="auto"/>
            <w:tcMar>
              <w:top w:w="57" w:type="dxa"/>
              <w:bottom w:w="57" w:type="dxa"/>
            </w:tcMar>
          </w:tcPr>
          <w:p w14:paraId="40A8EE42" w14:textId="77777777" w:rsidR="004C0BC3" w:rsidRDefault="004C0BC3" w:rsidP="004C0BC3">
            <w:pPr>
              <w:rPr>
                <w:rFonts w:cs="Arial"/>
                <w:szCs w:val="19"/>
              </w:rPr>
            </w:pPr>
            <w:proofErr w:type="spellStart"/>
            <w:r>
              <w:rPr>
                <w:rFonts w:cs="Arial"/>
                <w:szCs w:val="19"/>
              </w:rPr>
              <w:t>Abemaciclib</w:t>
            </w:r>
            <w:proofErr w:type="spellEnd"/>
            <w:r>
              <w:rPr>
                <w:rFonts w:cs="Arial"/>
                <w:szCs w:val="19"/>
              </w:rPr>
              <w:t xml:space="preserve"> (</w:t>
            </w:r>
            <w:proofErr w:type="spellStart"/>
            <w:r w:rsidRPr="00992C39">
              <w:rPr>
                <w:rFonts w:cs="Arial"/>
                <w:i/>
                <w:iCs/>
                <w:szCs w:val="19"/>
              </w:rPr>
              <w:t>Verzenios</w:t>
            </w:r>
            <w:proofErr w:type="spellEnd"/>
            <w:r>
              <w:rPr>
                <w:rFonts w:cs="Arial"/>
                <w:szCs w:val="19"/>
              </w:rPr>
              <w:t>)</w:t>
            </w:r>
          </w:p>
        </w:tc>
        <w:tc>
          <w:tcPr>
            <w:tcW w:w="3775" w:type="pct"/>
            <w:shd w:val="clear" w:color="auto" w:fill="auto"/>
            <w:tcMar>
              <w:top w:w="57" w:type="dxa"/>
              <w:bottom w:w="57" w:type="dxa"/>
            </w:tcMar>
          </w:tcPr>
          <w:p w14:paraId="2BC942CE" w14:textId="77777777" w:rsidR="004C0BC3" w:rsidRPr="00C05FAF" w:rsidRDefault="004C0BC3" w:rsidP="004C0BC3">
            <w:pPr>
              <w:tabs>
                <w:tab w:val="center" w:pos="3152"/>
              </w:tabs>
              <w:rPr>
                <w:rFonts w:cs="Arial"/>
                <w:szCs w:val="19"/>
                <w:lang w:val="en-US"/>
              </w:rPr>
            </w:pPr>
            <w:r w:rsidRPr="00992C39">
              <w:rPr>
                <w:rFonts w:cs="Arial"/>
                <w:szCs w:val="19"/>
                <w:lang w:val="en-US"/>
              </w:rPr>
              <w:t>Advanced, HR-positive, HER2-negative</w:t>
            </w:r>
            <w:r>
              <w:rPr>
                <w:rFonts w:cs="Arial"/>
                <w:szCs w:val="19"/>
                <w:lang w:val="en-US"/>
              </w:rPr>
              <w:t xml:space="preserve"> breast cancer</w:t>
            </w:r>
            <w:r w:rsidRPr="00992C39">
              <w:rPr>
                <w:rFonts w:cs="Arial"/>
                <w:szCs w:val="19"/>
                <w:lang w:val="en-US"/>
              </w:rPr>
              <w:t>, following relapse/progression on or after treatment with a CDK4</w:t>
            </w:r>
            <w:r>
              <w:rPr>
                <w:rFonts w:cs="Arial"/>
                <w:szCs w:val="19"/>
                <w:lang w:val="en-US"/>
              </w:rPr>
              <w:t>/</w:t>
            </w:r>
            <w:r w:rsidRPr="00992C39">
              <w:rPr>
                <w:rFonts w:cs="Arial"/>
                <w:szCs w:val="19"/>
                <w:lang w:val="en-US"/>
              </w:rPr>
              <w:t>6 inhibitor and endocrine therapy, in adults</w:t>
            </w:r>
            <w:r>
              <w:rPr>
                <w:rFonts w:cs="Arial"/>
                <w:szCs w:val="19"/>
                <w:lang w:val="en-US"/>
              </w:rPr>
              <w:t>,</w:t>
            </w:r>
            <w:r w:rsidRPr="00992C39">
              <w:rPr>
                <w:rFonts w:cs="Arial"/>
                <w:szCs w:val="19"/>
                <w:lang w:val="en-US"/>
              </w:rPr>
              <w:t xml:space="preserve"> with fulvestrant</w:t>
            </w:r>
            <w:r>
              <w:rPr>
                <w:rFonts w:cs="Arial"/>
                <w:szCs w:val="19"/>
                <w:lang w:val="en-US"/>
              </w:rPr>
              <w:t xml:space="preserve"> – UK development discontinued (company decision)</w:t>
            </w:r>
          </w:p>
        </w:tc>
      </w:tr>
      <w:tr w:rsidR="004C0BC3" w14:paraId="7BB8F51F" w14:textId="77777777" w:rsidTr="00565A41">
        <w:tc>
          <w:tcPr>
            <w:tcW w:w="1225" w:type="pct"/>
            <w:shd w:val="clear" w:color="auto" w:fill="auto"/>
            <w:tcMar>
              <w:top w:w="57" w:type="dxa"/>
              <w:bottom w:w="57" w:type="dxa"/>
            </w:tcMar>
          </w:tcPr>
          <w:p w14:paraId="2701431B" w14:textId="77777777" w:rsidR="004C0BC3" w:rsidRPr="00B26158" w:rsidRDefault="004C0BC3" w:rsidP="004C0BC3">
            <w:pPr>
              <w:rPr>
                <w:rFonts w:cs="Arial"/>
                <w:szCs w:val="19"/>
              </w:rPr>
            </w:pPr>
            <w:r>
              <w:rPr>
                <w:rFonts w:cs="Arial"/>
                <w:szCs w:val="19"/>
              </w:rPr>
              <w:t>Ataluren (</w:t>
            </w:r>
            <w:proofErr w:type="spellStart"/>
            <w:r>
              <w:rPr>
                <w:rFonts w:cs="Arial"/>
                <w:i/>
                <w:iCs/>
                <w:szCs w:val="19"/>
              </w:rPr>
              <w:t>Translarna</w:t>
            </w:r>
            <w:proofErr w:type="spellEnd"/>
            <w:r>
              <w:rPr>
                <w:rFonts w:cs="Arial"/>
                <w:szCs w:val="19"/>
              </w:rPr>
              <w:t>)</w:t>
            </w:r>
          </w:p>
        </w:tc>
        <w:tc>
          <w:tcPr>
            <w:tcW w:w="3775" w:type="pct"/>
            <w:shd w:val="clear" w:color="auto" w:fill="auto"/>
            <w:tcMar>
              <w:top w:w="57" w:type="dxa"/>
              <w:bottom w:w="57" w:type="dxa"/>
            </w:tcMar>
          </w:tcPr>
          <w:p w14:paraId="76782F3C" w14:textId="77777777" w:rsidR="004C0BC3" w:rsidRPr="00724EED" w:rsidRDefault="004C0BC3" w:rsidP="004C0BC3">
            <w:pPr>
              <w:tabs>
                <w:tab w:val="center" w:pos="3152"/>
              </w:tabs>
              <w:rPr>
                <w:rFonts w:cs="Arial"/>
                <w:szCs w:val="19"/>
                <w:lang w:val="en-US"/>
              </w:rPr>
            </w:pPr>
            <w:r>
              <w:rPr>
                <w:rFonts w:cs="Arial"/>
                <w:szCs w:val="19"/>
                <w:lang w:val="en-US"/>
              </w:rPr>
              <w:t>T</w:t>
            </w:r>
            <w:r w:rsidRPr="00B26158">
              <w:rPr>
                <w:rFonts w:cs="Arial"/>
                <w:szCs w:val="19"/>
                <w:lang w:val="en-US"/>
              </w:rPr>
              <w:t>reatment of Duchenne muscular dystrophy resulting from a nonsense</w:t>
            </w:r>
            <w:r>
              <w:rPr>
                <w:rFonts w:cs="Arial"/>
                <w:szCs w:val="19"/>
                <w:lang w:val="en-US"/>
              </w:rPr>
              <w:t xml:space="preserve"> </w:t>
            </w:r>
            <w:r w:rsidRPr="00B26158">
              <w:rPr>
                <w:rFonts w:cs="Arial"/>
                <w:szCs w:val="19"/>
                <w:lang w:val="en-US"/>
              </w:rPr>
              <w:t xml:space="preserve">mutation in the dystrophin gene, in ambulatory patients aged </w:t>
            </w:r>
            <w:r>
              <w:rPr>
                <w:rFonts w:cs="Arial"/>
                <w:szCs w:val="19"/>
                <w:lang w:val="en-US"/>
              </w:rPr>
              <w:t>≥</w:t>
            </w:r>
            <w:r w:rsidRPr="00B26158">
              <w:rPr>
                <w:rFonts w:cs="Arial"/>
                <w:szCs w:val="19"/>
                <w:lang w:val="en-US"/>
              </w:rPr>
              <w:t>2 year</w:t>
            </w:r>
            <w:r>
              <w:rPr>
                <w:rFonts w:cs="Arial"/>
                <w:szCs w:val="19"/>
                <w:lang w:val="en-US"/>
              </w:rPr>
              <w:t>s – confirmation of the</w:t>
            </w:r>
            <w:r w:rsidRPr="00B26158">
              <w:rPr>
                <w:rFonts w:cs="Arial"/>
                <w:szCs w:val="19"/>
                <w:lang w:val="en-US"/>
              </w:rPr>
              <w:t xml:space="preserve"> previous recommendation to not renew the conditional </w:t>
            </w:r>
            <w:proofErr w:type="spellStart"/>
            <w:r>
              <w:rPr>
                <w:rFonts w:cs="Arial"/>
                <w:szCs w:val="19"/>
                <w:lang w:val="en-US"/>
              </w:rPr>
              <w:t>licence</w:t>
            </w:r>
            <w:proofErr w:type="spellEnd"/>
            <w:r w:rsidRPr="00B26158">
              <w:rPr>
                <w:rFonts w:cs="Arial"/>
                <w:szCs w:val="19"/>
                <w:lang w:val="en-US"/>
              </w:rPr>
              <w:t xml:space="preserve"> </w:t>
            </w:r>
            <w:r>
              <w:rPr>
                <w:rFonts w:cs="Arial"/>
                <w:szCs w:val="19"/>
                <w:lang w:val="en-US"/>
              </w:rPr>
              <w:t>in the EU</w:t>
            </w:r>
          </w:p>
        </w:tc>
      </w:tr>
      <w:tr w:rsidR="004C0BC3" w14:paraId="539C571C" w14:textId="77777777" w:rsidTr="00565A41">
        <w:tc>
          <w:tcPr>
            <w:tcW w:w="1225" w:type="pct"/>
            <w:shd w:val="clear" w:color="auto" w:fill="auto"/>
            <w:tcMar>
              <w:top w:w="57" w:type="dxa"/>
              <w:bottom w:w="57" w:type="dxa"/>
            </w:tcMar>
          </w:tcPr>
          <w:p w14:paraId="46D84D8F" w14:textId="6AA3334D" w:rsidR="004C0BC3" w:rsidRPr="00587325" w:rsidRDefault="004C0BC3" w:rsidP="004C0BC3">
            <w:pPr>
              <w:rPr>
                <w:rFonts w:cs="Arial"/>
                <w:szCs w:val="19"/>
              </w:rPr>
            </w:pPr>
            <w:proofErr w:type="spellStart"/>
            <w:r w:rsidRPr="00D64582">
              <w:rPr>
                <w:rFonts w:cs="Arial"/>
                <w:szCs w:val="19"/>
              </w:rPr>
              <w:t>Avacincaptad</w:t>
            </w:r>
            <w:proofErr w:type="spellEnd"/>
            <w:r w:rsidRPr="00D64582">
              <w:rPr>
                <w:rFonts w:cs="Arial"/>
                <w:szCs w:val="19"/>
              </w:rPr>
              <w:t xml:space="preserve"> pegol</w:t>
            </w:r>
            <w:r>
              <w:rPr>
                <w:rFonts w:cs="Arial"/>
                <w:szCs w:val="19"/>
              </w:rPr>
              <w:t xml:space="preserve"> (</w:t>
            </w:r>
            <w:proofErr w:type="spellStart"/>
            <w:r>
              <w:rPr>
                <w:rFonts w:cs="Arial"/>
                <w:i/>
                <w:iCs/>
                <w:szCs w:val="19"/>
              </w:rPr>
              <w:t>Izelvay</w:t>
            </w:r>
            <w:proofErr w:type="spellEnd"/>
            <w:r>
              <w:rPr>
                <w:rFonts w:cs="Arial"/>
                <w:szCs w:val="19"/>
              </w:rPr>
              <w:t>)</w:t>
            </w:r>
          </w:p>
        </w:tc>
        <w:tc>
          <w:tcPr>
            <w:tcW w:w="3775" w:type="pct"/>
            <w:shd w:val="clear" w:color="auto" w:fill="auto"/>
            <w:tcMar>
              <w:top w:w="57" w:type="dxa"/>
              <w:bottom w:w="57" w:type="dxa"/>
            </w:tcMar>
          </w:tcPr>
          <w:p w14:paraId="7324534B" w14:textId="564E3E10" w:rsidR="004C0BC3" w:rsidRPr="00724EED" w:rsidRDefault="004C0BC3" w:rsidP="004C0BC3">
            <w:pPr>
              <w:tabs>
                <w:tab w:val="center" w:pos="3152"/>
              </w:tabs>
              <w:rPr>
                <w:rFonts w:cs="Arial"/>
                <w:szCs w:val="19"/>
                <w:lang w:val="en-US"/>
              </w:rPr>
            </w:pPr>
            <w:r w:rsidRPr="00587325">
              <w:rPr>
                <w:rFonts w:cs="Arial"/>
                <w:szCs w:val="19"/>
                <w:lang w:val="en-US"/>
              </w:rPr>
              <w:t>Treatment for geographic atrophy secondary to age-related macular degeneration</w:t>
            </w:r>
            <w:r>
              <w:rPr>
                <w:rFonts w:cs="Arial"/>
                <w:szCs w:val="19"/>
                <w:lang w:val="en-US"/>
              </w:rPr>
              <w:t xml:space="preserve"> in adults – EU filing withdrawn</w:t>
            </w:r>
          </w:p>
        </w:tc>
      </w:tr>
      <w:tr w:rsidR="004C0BC3" w14:paraId="7C774EEE" w14:textId="77777777" w:rsidTr="00565A41">
        <w:tc>
          <w:tcPr>
            <w:tcW w:w="1225" w:type="pct"/>
            <w:shd w:val="clear" w:color="auto" w:fill="auto"/>
            <w:tcMar>
              <w:top w:w="57" w:type="dxa"/>
              <w:bottom w:w="57" w:type="dxa"/>
            </w:tcMar>
          </w:tcPr>
          <w:p w14:paraId="01A0AEDC" w14:textId="77777777" w:rsidR="004C0BC3" w:rsidRPr="00C05FAF" w:rsidRDefault="004C0BC3" w:rsidP="004C0BC3">
            <w:pPr>
              <w:rPr>
                <w:rFonts w:cs="Arial"/>
                <w:szCs w:val="19"/>
              </w:rPr>
            </w:pPr>
            <w:proofErr w:type="spellStart"/>
            <w:r w:rsidRPr="00724EED">
              <w:rPr>
                <w:rFonts w:cs="Arial"/>
                <w:szCs w:val="19"/>
              </w:rPr>
              <w:t>Bimatoprost</w:t>
            </w:r>
            <w:proofErr w:type="spellEnd"/>
            <w:r w:rsidRPr="00724EED">
              <w:rPr>
                <w:rFonts w:cs="Arial"/>
                <w:szCs w:val="19"/>
              </w:rPr>
              <w:t xml:space="preserve"> (</w:t>
            </w:r>
            <w:proofErr w:type="spellStart"/>
            <w:r w:rsidRPr="00724EED">
              <w:rPr>
                <w:rFonts w:cs="Arial"/>
                <w:i/>
                <w:iCs/>
                <w:szCs w:val="19"/>
              </w:rPr>
              <w:t>Durysta</w:t>
            </w:r>
            <w:proofErr w:type="spellEnd"/>
            <w:r w:rsidRPr="00724EED">
              <w:rPr>
                <w:rFonts w:cs="Arial"/>
                <w:szCs w:val="19"/>
              </w:rPr>
              <w:t>)</w:t>
            </w:r>
          </w:p>
        </w:tc>
        <w:tc>
          <w:tcPr>
            <w:tcW w:w="3775" w:type="pct"/>
            <w:shd w:val="clear" w:color="auto" w:fill="auto"/>
            <w:tcMar>
              <w:top w:w="57" w:type="dxa"/>
              <w:bottom w:w="57" w:type="dxa"/>
            </w:tcMar>
          </w:tcPr>
          <w:p w14:paraId="0C60E67F" w14:textId="77777777" w:rsidR="004C0BC3" w:rsidRDefault="004C0BC3" w:rsidP="004C0BC3">
            <w:pPr>
              <w:tabs>
                <w:tab w:val="center" w:pos="3152"/>
              </w:tabs>
              <w:rPr>
                <w:rFonts w:cs="Arial"/>
                <w:szCs w:val="19"/>
                <w:lang w:val="en-US"/>
              </w:rPr>
            </w:pPr>
            <w:r w:rsidRPr="00724EED">
              <w:rPr>
                <w:rFonts w:cs="Arial"/>
                <w:szCs w:val="19"/>
                <w:lang w:val="en-US"/>
              </w:rPr>
              <w:t>Glaucoma and ocular hypertension, in adults</w:t>
            </w:r>
            <w:r>
              <w:rPr>
                <w:rFonts w:cs="Arial"/>
                <w:szCs w:val="19"/>
                <w:lang w:val="en-US"/>
              </w:rPr>
              <w:t>,</w:t>
            </w:r>
            <w:r w:rsidRPr="00724EED">
              <w:rPr>
                <w:rFonts w:cs="Arial"/>
                <w:szCs w:val="19"/>
                <w:lang w:val="en-US"/>
              </w:rPr>
              <w:t xml:space="preserve"> sustained-release implant</w:t>
            </w:r>
            <w:r>
              <w:rPr>
                <w:rFonts w:cs="Arial"/>
                <w:szCs w:val="19"/>
                <w:lang w:val="en-US"/>
              </w:rPr>
              <w:t xml:space="preserve"> – UK development discontinued (company decision)</w:t>
            </w:r>
          </w:p>
        </w:tc>
      </w:tr>
      <w:tr w:rsidR="004C0BC3" w14:paraId="07D26017" w14:textId="77777777" w:rsidTr="00565A41">
        <w:tc>
          <w:tcPr>
            <w:tcW w:w="1225" w:type="pct"/>
            <w:shd w:val="clear" w:color="auto" w:fill="auto"/>
            <w:tcMar>
              <w:top w:w="57" w:type="dxa"/>
              <w:bottom w:w="57" w:type="dxa"/>
            </w:tcMar>
          </w:tcPr>
          <w:p w14:paraId="081C0008" w14:textId="77777777" w:rsidR="004C0BC3" w:rsidRPr="00724EED" w:rsidRDefault="004C0BC3" w:rsidP="004C0BC3">
            <w:pPr>
              <w:rPr>
                <w:rFonts w:cs="Arial"/>
                <w:szCs w:val="19"/>
              </w:rPr>
            </w:pPr>
            <w:proofErr w:type="spellStart"/>
            <w:r w:rsidRPr="0068414A">
              <w:rPr>
                <w:rFonts w:cs="Arial"/>
                <w:szCs w:val="19"/>
              </w:rPr>
              <w:t>Belantamab</w:t>
            </w:r>
            <w:proofErr w:type="spellEnd"/>
            <w:r w:rsidRPr="0068414A">
              <w:rPr>
                <w:rFonts w:cs="Arial"/>
                <w:szCs w:val="19"/>
              </w:rPr>
              <w:t xml:space="preserve"> </w:t>
            </w:r>
            <w:proofErr w:type="spellStart"/>
            <w:r w:rsidRPr="0068414A">
              <w:rPr>
                <w:rFonts w:cs="Arial"/>
                <w:szCs w:val="19"/>
              </w:rPr>
              <w:t>mafodotin</w:t>
            </w:r>
            <w:proofErr w:type="spellEnd"/>
            <w:r w:rsidRPr="0068414A">
              <w:rPr>
                <w:rFonts w:cs="Arial"/>
                <w:szCs w:val="19"/>
              </w:rPr>
              <w:t xml:space="preserve"> (</w:t>
            </w:r>
            <w:proofErr w:type="spellStart"/>
            <w:r w:rsidRPr="0068414A">
              <w:rPr>
                <w:rFonts w:cs="Arial"/>
                <w:i/>
                <w:iCs/>
                <w:szCs w:val="19"/>
              </w:rPr>
              <w:t>Blenrep</w:t>
            </w:r>
            <w:proofErr w:type="spellEnd"/>
            <w:r w:rsidRPr="0068414A">
              <w:rPr>
                <w:rFonts w:cs="Arial"/>
                <w:szCs w:val="19"/>
              </w:rPr>
              <w:t>)</w:t>
            </w:r>
          </w:p>
        </w:tc>
        <w:tc>
          <w:tcPr>
            <w:tcW w:w="3775" w:type="pct"/>
            <w:shd w:val="clear" w:color="auto" w:fill="auto"/>
            <w:tcMar>
              <w:top w:w="57" w:type="dxa"/>
              <w:bottom w:w="57" w:type="dxa"/>
            </w:tcMar>
          </w:tcPr>
          <w:p w14:paraId="3539DCA4" w14:textId="77777777" w:rsidR="004C0BC3" w:rsidRPr="00724EED" w:rsidRDefault="004C0BC3" w:rsidP="004C0BC3">
            <w:pPr>
              <w:tabs>
                <w:tab w:val="center" w:pos="3152"/>
              </w:tabs>
              <w:rPr>
                <w:rFonts w:cs="Arial"/>
                <w:szCs w:val="19"/>
                <w:lang w:val="en-US"/>
              </w:rPr>
            </w:pPr>
            <w:r>
              <w:rPr>
                <w:rFonts w:cs="Arial"/>
                <w:szCs w:val="19"/>
                <w:lang w:val="en-US"/>
              </w:rPr>
              <w:t xml:space="preserve">Use as </w:t>
            </w:r>
            <w:r w:rsidRPr="0068414A">
              <w:rPr>
                <w:rFonts w:cs="Arial"/>
                <w:szCs w:val="19"/>
                <w:lang w:val="en-US"/>
              </w:rPr>
              <w:t>monotherapy for the treatment of multiple myeloma</w:t>
            </w:r>
            <w:r>
              <w:rPr>
                <w:rFonts w:cs="Arial"/>
                <w:szCs w:val="19"/>
                <w:lang w:val="en-US"/>
              </w:rPr>
              <w:t xml:space="preserve"> </w:t>
            </w:r>
            <w:r w:rsidRPr="0068414A">
              <w:rPr>
                <w:rFonts w:cs="Arial"/>
                <w:szCs w:val="19"/>
                <w:lang w:val="en-US"/>
              </w:rPr>
              <w:t>in adults, who have received at least four prior therapies and whose</w:t>
            </w:r>
            <w:r>
              <w:rPr>
                <w:rFonts w:cs="Arial"/>
                <w:szCs w:val="19"/>
                <w:lang w:val="en-US"/>
              </w:rPr>
              <w:t xml:space="preserve"> </w:t>
            </w:r>
            <w:r w:rsidRPr="0068414A">
              <w:rPr>
                <w:rFonts w:cs="Arial"/>
                <w:szCs w:val="19"/>
                <w:lang w:val="en-US"/>
              </w:rPr>
              <w:t>disease is refractory to at least one proteasome inhibitor, one</w:t>
            </w:r>
            <w:r>
              <w:rPr>
                <w:rFonts w:cs="Arial"/>
                <w:szCs w:val="19"/>
                <w:lang w:val="en-US"/>
              </w:rPr>
              <w:t xml:space="preserve"> </w:t>
            </w:r>
            <w:r w:rsidRPr="0068414A">
              <w:rPr>
                <w:rFonts w:cs="Arial"/>
                <w:szCs w:val="19"/>
                <w:lang w:val="en-US"/>
              </w:rPr>
              <w:t>immunomodulatory agent, and an anti-CD38 monoclonal antibody, and who</w:t>
            </w:r>
            <w:r>
              <w:rPr>
                <w:rFonts w:cs="Arial"/>
                <w:szCs w:val="19"/>
                <w:lang w:val="en-US"/>
              </w:rPr>
              <w:t xml:space="preserve"> </w:t>
            </w:r>
            <w:r w:rsidRPr="0068414A">
              <w:rPr>
                <w:rFonts w:cs="Arial"/>
                <w:szCs w:val="19"/>
                <w:lang w:val="en-US"/>
              </w:rPr>
              <w:t>have demonstrated disease progression on the last therapy</w:t>
            </w:r>
            <w:r>
              <w:rPr>
                <w:rFonts w:cs="Arial"/>
                <w:szCs w:val="19"/>
                <w:lang w:val="en-US"/>
              </w:rPr>
              <w:t xml:space="preserve"> – UK </w:t>
            </w:r>
            <w:proofErr w:type="spellStart"/>
            <w:r>
              <w:rPr>
                <w:rFonts w:cs="Arial"/>
                <w:szCs w:val="19"/>
                <w:lang w:val="en-US"/>
              </w:rPr>
              <w:t>licence</w:t>
            </w:r>
            <w:proofErr w:type="spellEnd"/>
            <w:r>
              <w:rPr>
                <w:rFonts w:cs="Arial"/>
                <w:szCs w:val="19"/>
                <w:lang w:val="en-US"/>
              </w:rPr>
              <w:t xml:space="preserve"> withdrawn</w:t>
            </w:r>
          </w:p>
        </w:tc>
      </w:tr>
      <w:tr w:rsidR="004C0BC3" w14:paraId="2FDD74BD" w14:textId="77777777" w:rsidTr="00565A41">
        <w:tc>
          <w:tcPr>
            <w:tcW w:w="1225" w:type="pct"/>
            <w:shd w:val="clear" w:color="auto" w:fill="auto"/>
            <w:tcMar>
              <w:top w:w="57" w:type="dxa"/>
              <w:bottom w:w="57" w:type="dxa"/>
            </w:tcMar>
          </w:tcPr>
          <w:p w14:paraId="2CBD0409" w14:textId="77777777" w:rsidR="004C0BC3" w:rsidRPr="003D2915" w:rsidRDefault="004C0BC3" w:rsidP="004C0BC3">
            <w:pPr>
              <w:rPr>
                <w:rFonts w:cs="Arial"/>
                <w:szCs w:val="19"/>
              </w:rPr>
            </w:pPr>
            <w:r>
              <w:rPr>
                <w:rFonts w:cs="Arial"/>
                <w:szCs w:val="19"/>
              </w:rPr>
              <w:t xml:space="preserve">Gemcitabine </w:t>
            </w:r>
          </w:p>
        </w:tc>
        <w:tc>
          <w:tcPr>
            <w:tcW w:w="3775" w:type="pct"/>
            <w:shd w:val="clear" w:color="auto" w:fill="auto"/>
            <w:tcMar>
              <w:top w:w="57" w:type="dxa"/>
              <w:bottom w:w="57" w:type="dxa"/>
            </w:tcMar>
          </w:tcPr>
          <w:p w14:paraId="6A509127" w14:textId="77777777" w:rsidR="004C0BC3" w:rsidRPr="00C05FAF" w:rsidRDefault="004C0BC3" w:rsidP="004C0BC3">
            <w:pPr>
              <w:tabs>
                <w:tab w:val="center" w:pos="3152"/>
              </w:tabs>
              <w:rPr>
                <w:rFonts w:cs="Arial"/>
                <w:szCs w:val="19"/>
                <w:lang w:val="en-US"/>
              </w:rPr>
            </w:pPr>
            <w:r w:rsidRPr="003E4872">
              <w:rPr>
                <w:rFonts w:cs="Arial"/>
                <w:szCs w:val="19"/>
                <w:lang w:val="en-US"/>
              </w:rPr>
              <w:t>Muscle invasive</w:t>
            </w:r>
            <w:r>
              <w:rPr>
                <w:rFonts w:cs="Arial"/>
                <w:szCs w:val="19"/>
                <w:lang w:val="en-US"/>
              </w:rPr>
              <w:t xml:space="preserve"> bladder cancer</w:t>
            </w:r>
            <w:r w:rsidRPr="003E4872">
              <w:rPr>
                <w:rFonts w:cs="Arial"/>
                <w:szCs w:val="19"/>
                <w:lang w:val="en-US"/>
              </w:rPr>
              <w:t xml:space="preserve"> in adults</w:t>
            </w:r>
            <w:r>
              <w:rPr>
                <w:rFonts w:cs="Arial"/>
                <w:szCs w:val="19"/>
                <w:lang w:val="en-US"/>
              </w:rPr>
              <w:t xml:space="preserve">, </w:t>
            </w:r>
            <w:r w:rsidRPr="003E4872">
              <w:rPr>
                <w:rFonts w:cs="Arial"/>
                <w:szCs w:val="19"/>
                <w:lang w:val="en-US"/>
              </w:rPr>
              <w:t xml:space="preserve">intravesical delivery system with </w:t>
            </w:r>
            <w:proofErr w:type="spellStart"/>
            <w:r w:rsidRPr="003E4872">
              <w:rPr>
                <w:rFonts w:cs="Arial"/>
                <w:szCs w:val="19"/>
                <w:lang w:val="en-US"/>
              </w:rPr>
              <w:t>cetrelimab</w:t>
            </w:r>
            <w:proofErr w:type="spellEnd"/>
            <w:r>
              <w:rPr>
                <w:rFonts w:cs="Arial"/>
                <w:szCs w:val="19"/>
                <w:lang w:val="en-US"/>
              </w:rPr>
              <w:t xml:space="preserve"> – development discontinued (lack of efficacy)</w:t>
            </w:r>
          </w:p>
        </w:tc>
      </w:tr>
      <w:tr w:rsidR="004C0BC3" w14:paraId="1102143D" w14:textId="77777777" w:rsidTr="00565A41">
        <w:tc>
          <w:tcPr>
            <w:tcW w:w="1225" w:type="pct"/>
            <w:shd w:val="clear" w:color="auto" w:fill="auto"/>
            <w:tcMar>
              <w:top w:w="57" w:type="dxa"/>
              <w:bottom w:w="57" w:type="dxa"/>
            </w:tcMar>
          </w:tcPr>
          <w:p w14:paraId="117A993C" w14:textId="4F12ACC0" w:rsidR="004C0BC3" w:rsidRPr="001E4927" w:rsidRDefault="004C0BC3" w:rsidP="004C0BC3">
            <w:pPr>
              <w:rPr>
                <w:rFonts w:cs="Arial"/>
                <w:szCs w:val="19"/>
              </w:rPr>
            </w:pPr>
            <w:proofErr w:type="spellStart"/>
            <w:r w:rsidRPr="007E4966">
              <w:rPr>
                <w:rFonts w:cs="Arial"/>
                <w:szCs w:val="19"/>
              </w:rPr>
              <w:t>Ianalumab</w:t>
            </w:r>
            <w:proofErr w:type="spellEnd"/>
            <w:r>
              <w:rPr>
                <w:rFonts w:cs="Arial"/>
                <w:szCs w:val="19"/>
              </w:rPr>
              <w:t xml:space="preserve"> </w:t>
            </w:r>
          </w:p>
        </w:tc>
        <w:tc>
          <w:tcPr>
            <w:tcW w:w="3775" w:type="pct"/>
            <w:shd w:val="clear" w:color="auto" w:fill="auto"/>
            <w:tcMar>
              <w:top w:w="57" w:type="dxa"/>
              <w:bottom w:w="57" w:type="dxa"/>
            </w:tcMar>
          </w:tcPr>
          <w:p w14:paraId="27555DF4" w14:textId="6FD731DB" w:rsidR="004C0BC3" w:rsidRDefault="004C0BC3" w:rsidP="004C0BC3">
            <w:pPr>
              <w:tabs>
                <w:tab w:val="center" w:pos="3152"/>
              </w:tabs>
              <w:rPr>
                <w:rFonts w:cs="Arial"/>
                <w:szCs w:val="19"/>
                <w:lang w:val="en-US"/>
              </w:rPr>
            </w:pPr>
            <w:r w:rsidRPr="007E4966">
              <w:rPr>
                <w:rFonts w:cs="Arial"/>
                <w:szCs w:val="19"/>
                <w:lang w:val="en-US"/>
              </w:rPr>
              <w:t xml:space="preserve">Autoimmune </w:t>
            </w:r>
            <w:r>
              <w:rPr>
                <w:rFonts w:cs="Arial"/>
                <w:szCs w:val="19"/>
                <w:lang w:val="en-US"/>
              </w:rPr>
              <w:t>hepatitis</w:t>
            </w:r>
            <w:r w:rsidRPr="007E4966">
              <w:rPr>
                <w:rFonts w:cs="Arial"/>
                <w:szCs w:val="19"/>
                <w:lang w:val="en-US"/>
              </w:rPr>
              <w:t xml:space="preserve"> in adults</w:t>
            </w:r>
            <w:r>
              <w:rPr>
                <w:rFonts w:cs="Arial"/>
                <w:szCs w:val="19"/>
                <w:lang w:val="en-US"/>
              </w:rPr>
              <w:t xml:space="preserve"> – development discontinued (company decision)</w:t>
            </w:r>
          </w:p>
        </w:tc>
      </w:tr>
      <w:tr w:rsidR="004C0BC3" w14:paraId="5AD28171" w14:textId="77777777" w:rsidTr="00565A41">
        <w:tc>
          <w:tcPr>
            <w:tcW w:w="1225" w:type="pct"/>
            <w:shd w:val="clear" w:color="auto" w:fill="auto"/>
            <w:tcMar>
              <w:top w:w="57" w:type="dxa"/>
              <w:bottom w:w="57" w:type="dxa"/>
            </w:tcMar>
          </w:tcPr>
          <w:p w14:paraId="5DD43BE4" w14:textId="77777777" w:rsidR="004C0BC3" w:rsidRDefault="004C0BC3" w:rsidP="004C0BC3">
            <w:pPr>
              <w:rPr>
                <w:rFonts w:cs="Arial"/>
                <w:szCs w:val="19"/>
              </w:rPr>
            </w:pPr>
            <w:r w:rsidRPr="001E4927">
              <w:rPr>
                <w:rFonts w:cs="Arial"/>
                <w:szCs w:val="19"/>
              </w:rPr>
              <w:t>Leukocyte interleukin </w:t>
            </w:r>
            <w:r>
              <w:rPr>
                <w:rFonts w:cs="Arial"/>
                <w:szCs w:val="19"/>
              </w:rPr>
              <w:t>(</w:t>
            </w:r>
            <w:proofErr w:type="spellStart"/>
            <w:r>
              <w:rPr>
                <w:rFonts w:cs="Arial"/>
                <w:i/>
                <w:iCs/>
                <w:szCs w:val="19"/>
              </w:rPr>
              <w:t>Multikine</w:t>
            </w:r>
            <w:proofErr w:type="spellEnd"/>
            <w:r>
              <w:rPr>
                <w:rFonts w:cs="Arial"/>
                <w:szCs w:val="19"/>
              </w:rPr>
              <w:t>)</w:t>
            </w:r>
          </w:p>
        </w:tc>
        <w:tc>
          <w:tcPr>
            <w:tcW w:w="3775" w:type="pct"/>
            <w:shd w:val="clear" w:color="auto" w:fill="auto"/>
            <w:tcMar>
              <w:top w:w="57" w:type="dxa"/>
              <w:bottom w:w="57" w:type="dxa"/>
            </w:tcMar>
          </w:tcPr>
          <w:p w14:paraId="320A93BD" w14:textId="77777777" w:rsidR="004C0BC3" w:rsidRDefault="004C0BC3" w:rsidP="004C0BC3">
            <w:pPr>
              <w:tabs>
                <w:tab w:val="center" w:pos="3152"/>
              </w:tabs>
              <w:rPr>
                <w:rFonts w:cs="Arial"/>
                <w:szCs w:val="19"/>
                <w:lang w:val="en-US"/>
              </w:rPr>
            </w:pPr>
            <w:r>
              <w:rPr>
                <w:rFonts w:cs="Arial"/>
                <w:szCs w:val="19"/>
                <w:lang w:val="en-US"/>
              </w:rPr>
              <w:t>N</w:t>
            </w:r>
            <w:r w:rsidRPr="001E4927">
              <w:rPr>
                <w:rFonts w:cs="Arial"/>
                <w:szCs w:val="19"/>
                <w:lang w:val="en-US"/>
              </w:rPr>
              <w:t xml:space="preserve">ewly diagnosed, locally advanced, squamous cell carcinoma </w:t>
            </w:r>
            <w:r>
              <w:rPr>
                <w:rFonts w:cs="Arial"/>
                <w:szCs w:val="19"/>
                <w:lang w:val="en-US"/>
              </w:rPr>
              <w:t xml:space="preserve">of head and neck </w:t>
            </w:r>
            <w:r w:rsidRPr="001E4927">
              <w:rPr>
                <w:rFonts w:cs="Arial"/>
                <w:szCs w:val="19"/>
                <w:lang w:val="en-US"/>
              </w:rPr>
              <w:t>in adults</w:t>
            </w:r>
            <w:r>
              <w:rPr>
                <w:rFonts w:cs="Arial"/>
                <w:szCs w:val="19"/>
                <w:lang w:val="en-US"/>
              </w:rPr>
              <w:t>,</w:t>
            </w:r>
            <w:r w:rsidRPr="001E4927">
              <w:rPr>
                <w:rFonts w:cs="Arial"/>
                <w:szCs w:val="19"/>
                <w:lang w:val="en-US"/>
              </w:rPr>
              <w:t xml:space="preserve"> neoadjuvant therapy with cyclophosphamide, </w:t>
            </w:r>
            <w:proofErr w:type="spellStart"/>
            <w:r w:rsidRPr="001E4927">
              <w:rPr>
                <w:rFonts w:cs="Arial"/>
                <w:szCs w:val="19"/>
                <w:lang w:val="en-US"/>
              </w:rPr>
              <w:t>indometacin</w:t>
            </w:r>
            <w:proofErr w:type="spellEnd"/>
            <w:r w:rsidRPr="001E4927">
              <w:rPr>
                <w:rFonts w:cs="Arial"/>
                <w:szCs w:val="19"/>
                <w:lang w:val="en-US"/>
              </w:rPr>
              <w:t xml:space="preserve"> and zinc</w:t>
            </w:r>
            <w:r>
              <w:rPr>
                <w:rFonts w:cs="Arial"/>
                <w:szCs w:val="19"/>
                <w:lang w:val="en-US"/>
              </w:rPr>
              <w:t xml:space="preserve"> – UK development discontinued (company decision)</w:t>
            </w:r>
          </w:p>
        </w:tc>
      </w:tr>
      <w:tr w:rsidR="004C0BC3" w14:paraId="1A4CAFCE" w14:textId="77777777" w:rsidTr="00565A41">
        <w:tc>
          <w:tcPr>
            <w:tcW w:w="1225" w:type="pct"/>
            <w:shd w:val="clear" w:color="auto" w:fill="auto"/>
            <w:tcMar>
              <w:top w:w="57" w:type="dxa"/>
              <w:bottom w:w="57" w:type="dxa"/>
            </w:tcMar>
          </w:tcPr>
          <w:p w14:paraId="1852C9A0" w14:textId="5F7ECBBD" w:rsidR="004C0BC3" w:rsidRDefault="004C0BC3" w:rsidP="004C0BC3">
            <w:pPr>
              <w:rPr>
                <w:rFonts w:cs="Arial"/>
                <w:szCs w:val="19"/>
              </w:rPr>
            </w:pPr>
            <w:proofErr w:type="spellStart"/>
            <w:r w:rsidRPr="00B811C7">
              <w:rPr>
                <w:rFonts w:cs="Arial"/>
                <w:szCs w:val="19"/>
              </w:rPr>
              <w:t>Ligelizumab</w:t>
            </w:r>
            <w:proofErr w:type="spellEnd"/>
            <w:r>
              <w:rPr>
                <w:rFonts w:cs="Arial"/>
                <w:szCs w:val="19"/>
              </w:rPr>
              <w:t xml:space="preserve"> </w:t>
            </w:r>
          </w:p>
        </w:tc>
        <w:tc>
          <w:tcPr>
            <w:tcW w:w="3775" w:type="pct"/>
            <w:shd w:val="clear" w:color="auto" w:fill="auto"/>
            <w:tcMar>
              <w:top w:w="57" w:type="dxa"/>
              <w:bottom w:w="57" w:type="dxa"/>
            </w:tcMar>
          </w:tcPr>
          <w:p w14:paraId="3B0DC509" w14:textId="301E7EFF" w:rsidR="004C0BC3" w:rsidRDefault="004C0BC3" w:rsidP="004C0BC3">
            <w:pPr>
              <w:tabs>
                <w:tab w:val="center" w:pos="3152"/>
              </w:tabs>
              <w:rPr>
                <w:rFonts w:cs="Arial"/>
                <w:szCs w:val="19"/>
                <w:lang w:val="en-US"/>
              </w:rPr>
            </w:pPr>
            <w:r w:rsidRPr="00DA28EC">
              <w:rPr>
                <w:rFonts w:cs="Arial"/>
                <w:szCs w:val="19"/>
                <w:lang w:val="en-US"/>
              </w:rPr>
              <w:t>Prevention of food allergic reactions</w:t>
            </w:r>
            <w:r>
              <w:rPr>
                <w:rFonts w:cs="Arial"/>
                <w:szCs w:val="19"/>
                <w:lang w:val="en-US"/>
              </w:rPr>
              <w:t xml:space="preserve"> – development discontinued (company decision)</w:t>
            </w:r>
          </w:p>
        </w:tc>
      </w:tr>
      <w:tr w:rsidR="004C0BC3" w14:paraId="722C7A44" w14:textId="77777777" w:rsidTr="00565A41">
        <w:tc>
          <w:tcPr>
            <w:tcW w:w="1225" w:type="pct"/>
            <w:shd w:val="clear" w:color="auto" w:fill="auto"/>
            <w:tcMar>
              <w:top w:w="57" w:type="dxa"/>
              <w:bottom w:w="57" w:type="dxa"/>
            </w:tcMar>
          </w:tcPr>
          <w:p w14:paraId="21E8D2BC" w14:textId="77777777" w:rsidR="004C0BC3" w:rsidRDefault="004C0BC3" w:rsidP="004C0BC3">
            <w:pPr>
              <w:rPr>
                <w:rFonts w:cs="Arial"/>
                <w:szCs w:val="19"/>
              </w:rPr>
            </w:pPr>
            <w:r>
              <w:rPr>
                <w:rFonts w:cs="Arial"/>
                <w:szCs w:val="19"/>
              </w:rPr>
              <w:t xml:space="preserve">Masitinib </w:t>
            </w:r>
          </w:p>
          <w:p w14:paraId="58462CB9" w14:textId="5251A9B8" w:rsidR="004C0BC3" w:rsidRPr="00BB19BA" w:rsidRDefault="004C0BC3" w:rsidP="004C0BC3">
            <w:pPr>
              <w:rPr>
                <w:rFonts w:cs="Arial"/>
                <w:szCs w:val="19"/>
              </w:rPr>
            </w:pPr>
            <w:r>
              <w:rPr>
                <w:rFonts w:cs="Arial"/>
                <w:szCs w:val="19"/>
              </w:rPr>
              <w:t>(</w:t>
            </w:r>
            <w:r>
              <w:rPr>
                <w:rFonts w:cs="Arial"/>
                <w:i/>
                <w:iCs/>
                <w:szCs w:val="19"/>
              </w:rPr>
              <w:t>Masitinib AB Science</w:t>
            </w:r>
            <w:r>
              <w:rPr>
                <w:rFonts w:cs="Arial"/>
                <w:szCs w:val="19"/>
              </w:rPr>
              <w:t>)</w:t>
            </w:r>
          </w:p>
        </w:tc>
        <w:tc>
          <w:tcPr>
            <w:tcW w:w="3775" w:type="pct"/>
            <w:shd w:val="clear" w:color="auto" w:fill="auto"/>
            <w:tcMar>
              <w:top w:w="57" w:type="dxa"/>
              <w:bottom w:w="57" w:type="dxa"/>
            </w:tcMar>
          </w:tcPr>
          <w:p w14:paraId="172E9C3C" w14:textId="77777777" w:rsidR="004C0BC3" w:rsidRDefault="004C0BC3" w:rsidP="004C0BC3">
            <w:pPr>
              <w:tabs>
                <w:tab w:val="center" w:pos="3152"/>
              </w:tabs>
              <w:rPr>
                <w:rFonts w:cs="Arial"/>
                <w:szCs w:val="19"/>
                <w:lang w:val="en-US"/>
              </w:rPr>
            </w:pPr>
            <w:r>
              <w:rPr>
                <w:rFonts w:cs="Arial"/>
                <w:szCs w:val="19"/>
                <w:lang w:val="en-US"/>
              </w:rPr>
              <w:t>Early-stage a</w:t>
            </w:r>
            <w:r w:rsidRPr="00BB19BA">
              <w:rPr>
                <w:rFonts w:cs="Arial"/>
                <w:szCs w:val="19"/>
                <w:lang w:val="en-US"/>
              </w:rPr>
              <w:t>myotrophic lateral sclerosis in adults</w:t>
            </w:r>
            <w:r>
              <w:rPr>
                <w:rFonts w:cs="Arial"/>
                <w:szCs w:val="19"/>
                <w:lang w:val="en-US"/>
              </w:rPr>
              <w:t xml:space="preserve"> – not approved in EU</w:t>
            </w:r>
          </w:p>
        </w:tc>
      </w:tr>
      <w:tr w:rsidR="004C0BC3" w:rsidRPr="000F19E1" w14:paraId="77B523F4" w14:textId="77777777" w:rsidTr="00565A41">
        <w:tc>
          <w:tcPr>
            <w:tcW w:w="1225" w:type="pct"/>
            <w:shd w:val="clear" w:color="auto" w:fill="auto"/>
            <w:tcMar>
              <w:top w:w="0" w:type="dxa"/>
              <w:bottom w:w="0" w:type="dxa"/>
            </w:tcMar>
          </w:tcPr>
          <w:p w14:paraId="212D3777" w14:textId="77777777" w:rsidR="004C0BC3" w:rsidRPr="000F19E1" w:rsidRDefault="004C0BC3" w:rsidP="004C0BC3">
            <w:pPr>
              <w:rPr>
                <w:rFonts w:cs="Arial"/>
                <w:bCs/>
                <w:sz w:val="8"/>
                <w:szCs w:val="8"/>
              </w:rPr>
            </w:pPr>
          </w:p>
        </w:tc>
        <w:tc>
          <w:tcPr>
            <w:tcW w:w="3775" w:type="pct"/>
            <w:shd w:val="clear" w:color="auto" w:fill="auto"/>
            <w:tcMar>
              <w:top w:w="0" w:type="dxa"/>
              <w:bottom w:w="0" w:type="dxa"/>
            </w:tcMar>
          </w:tcPr>
          <w:p w14:paraId="5EB598D6" w14:textId="77777777" w:rsidR="004C0BC3" w:rsidRPr="000F19E1" w:rsidRDefault="004C0BC3" w:rsidP="004C0BC3">
            <w:pPr>
              <w:tabs>
                <w:tab w:val="center" w:pos="3152"/>
              </w:tabs>
              <w:rPr>
                <w:rFonts w:cs="Arial"/>
                <w:sz w:val="8"/>
                <w:szCs w:val="8"/>
                <w:lang w:val="en-US"/>
              </w:rPr>
            </w:pPr>
          </w:p>
        </w:tc>
      </w:tr>
      <w:tr w:rsidR="004C0BC3" w:rsidRPr="000F19E1" w14:paraId="10D2C679" w14:textId="77777777" w:rsidTr="00565A41">
        <w:tc>
          <w:tcPr>
            <w:tcW w:w="1225" w:type="pct"/>
            <w:shd w:val="clear" w:color="auto" w:fill="DAEEF3"/>
            <w:tcMar>
              <w:top w:w="0" w:type="dxa"/>
              <w:bottom w:w="0" w:type="dxa"/>
            </w:tcMar>
          </w:tcPr>
          <w:p w14:paraId="7B313C27" w14:textId="77777777" w:rsidR="004C0BC3" w:rsidRPr="000F19E1" w:rsidRDefault="004C0BC3" w:rsidP="004C0BC3">
            <w:pPr>
              <w:rPr>
                <w:rFonts w:cs="Arial"/>
                <w:bCs/>
                <w:sz w:val="8"/>
                <w:szCs w:val="8"/>
              </w:rPr>
            </w:pPr>
          </w:p>
        </w:tc>
        <w:tc>
          <w:tcPr>
            <w:tcW w:w="3775" w:type="pct"/>
            <w:shd w:val="clear" w:color="auto" w:fill="DAEEF3"/>
            <w:tcMar>
              <w:top w:w="0" w:type="dxa"/>
              <w:bottom w:w="0" w:type="dxa"/>
            </w:tcMar>
          </w:tcPr>
          <w:p w14:paraId="2ADD8F64" w14:textId="77777777" w:rsidR="004C0BC3" w:rsidRPr="000F19E1" w:rsidRDefault="004C0BC3" w:rsidP="004C0BC3">
            <w:pPr>
              <w:tabs>
                <w:tab w:val="center" w:pos="3152"/>
              </w:tabs>
              <w:rPr>
                <w:rFonts w:cs="Arial"/>
                <w:sz w:val="8"/>
                <w:szCs w:val="8"/>
                <w:lang w:val="en-US"/>
              </w:rPr>
            </w:pPr>
          </w:p>
        </w:tc>
      </w:tr>
    </w:tbl>
    <w:p w14:paraId="222EBC11" w14:textId="77777777" w:rsidR="006825BB" w:rsidRDefault="006825BB" w:rsidP="003D16EF">
      <w:pPr>
        <w:rPr>
          <w:sz w:val="8"/>
          <w:szCs w:val="8"/>
        </w:rPr>
      </w:pPr>
    </w:p>
    <w:p w14:paraId="25C195B9" w14:textId="05AFD576" w:rsidR="00645D22" w:rsidRDefault="00645D22">
      <w:pPr>
        <w:rPr>
          <w:sz w:val="8"/>
          <w:szCs w:val="8"/>
        </w:rPr>
      </w:pPr>
      <w:r>
        <w:rPr>
          <w:sz w:val="8"/>
          <w:szCs w:val="8"/>
        </w:rPr>
        <w:br w:type="page"/>
      </w:r>
    </w:p>
    <w:p w14:paraId="459CB28F" w14:textId="77777777" w:rsidR="00645D22" w:rsidRDefault="00645D22" w:rsidP="003D16EF">
      <w:pPr>
        <w:rPr>
          <w:sz w:val="8"/>
          <w:szCs w:val="8"/>
        </w:rPr>
      </w:pPr>
    </w:p>
    <w:p w14:paraId="332D3D76" w14:textId="77777777" w:rsidR="00645D22" w:rsidRDefault="00645D22" w:rsidP="003D16EF">
      <w:pPr>
        <w:rPr>
          <w:sz w:val="8"/>
          <w:szCs w:val="8"/>
        </w:rPr>
      </w:pPr>
    </w:p>
    <w:p w14:paraId="122BBEE4" w14:textId="77777777" w:rsidR="00645D22" w:rsidRDefault="00645D22" w:rsidP="003D16EF">
      <w:pPr>
        <w:rPr>
          <w:sz w:val="8"/>
          <w:szCs w:val="8"/>
        </w:rPr>
      </w:pPr>
    </w:p>
    <w:tbl>
      <w:tblPr>
        <w:tblW w:w="5170" w:type="pct"/>
        <w:tblInd w:w="-176" w:type="dxa"/>
        <w:tblLayout w:type="fixed"/>
        <w:tblLook w:val="01E0" w:firstRow="1" w:lastRow="1" w:firstColumn="1" w:lastColumn="1" w:noHBand="0" w:noVBand="0"/>
      </w:tblPr>
      <w:tblGrid>
        <w:gridCol w:w="2585"/>
        <w:gridCol w:w="568"/>
        <w:gridCol w:w="7398"/>
      </w:tblGrid>
      <w:tr w:rsidR="00645D22" w:rsidRPr="00862949" w14:paraId="70695C92" w14:textId="77777777" w:rsidTr="00054B3D">
        <w:tc>
          <w:tcPr>
            <w:tcW w:w="5000" w:type="pct"/>
            <w:gridSpan w:val="3"/>
            <w:shd w:val="clear" w:color="auto" w:fill="0070C0"/>
            <w:tcMar>
              <w:top w:w="85" w:type="dxa"/>
              <w:bottom w:w="85" w:type="dxa"/>
            </w:tcMar>
            <w:vAlign w:val="bottom"/>
          </w:tcPr>
          <w:p w14:paraId="6B427AAE" w14:textId="77777777" w:rsidR="00645D22" w:rsidRPr="00862949" w:rsidRDefault="00645D22" w:rsidP="00054B3D">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645D22" w:rsidRPr="000F19E1" w14:paraId="56F15881" w14:textId="77777777" w:rsidTr="00054B3D">
        <w:tc>
          <w:tcPr>
            <w:tcW w:w="1494" w:type="pct"/>
            <w:gridSpan w:val="2"/>
            <w:shd w:val="clear" w:color="auto" w:fill="DAEEF3"/>
            <w:tcMar>
              <w:top w:w="0" w:type="dxa"/>
              <w:bottom w:w="0" w:type="dxa"/>
            </w:tcMar>
          </w:tcPr>
          <w:p w14:paraId="15113485" w14:textId="77777777" w:rsidR="00645D22" w:rsidRPr="000F19E1" w:rsidRDefault="00645D22" w:rsidP="00054B3D">
            <w:pPr>
              <w:rPr>
                <w:rFonts w:cs="Arial"/>
                <w:bCs/>
                <w:sz w:val="8"/>
                <w:szCs w:val="8"/>
              </w:rPr>
            </w:pPr>
          </w:p>
        </w:tc>
        <w:tc>
          <w:tcPr>
            <w:tcW w:w="3506" w:type="pct"/>
            <w:shd w:val="clear" w:color="auto" w:fill="DAEEF3"/>
            <w:tcMar>
              <w:top w:w="0" w:type="dxa"/>
              <w:bottom w:w="0" w:type="dxa"/>
            </w:tcMar>
          </w:tcPr>
          <w:p w14:paraId="50187FF2" w14:textId="77777777" w:rsidR="00645D22" w:rsidRPr="000F19E1" w:rsidRDefault="00645D22" w:rsidP="00054B3D">
            <w:pPr>
              <w:tabs>
                <w:tab w:val="center" w:pos="3152"/>
              </w:tabs>
              <w:rPr>
                <w:rFonts w:cs="Arial"/>
                <w:sz w:val="8"/>
                <w:szCs w:val="8"/>
                <w:lang w:val="en-US"/>
              </w:rPr>
            </w:pPr>
          </w:p>
        </w:tc>
      </w:tr>
      <w:tr w:rsidR="00645D22" w:rsidRPr="00126CCD" w14:paraId="378E5678" w14:textId="77777777" w:rsidTr="00054B3D">
        <w:tc>
          <w:tcPr>
            <w:tcW w:w="5000" w:type="pct"/>
            <w:gridSpan w:val="3"/>
            <w:shd w:val="clear" w:color="auto" w:fill="00B050"/>
            <w:tcMar>
              <w:top w:w="57" w:type="dxa"/>
              <w:bottom w:w="57" w:type="dxa"/>
            </w:tcMar>
          </w:tcPr>
          <w:p w14:paraId="7E30F75B" w14:textId="7E026B8F" w:rsidR="00645D22" w:rsidRPr="004642B4" w:rsidRDefault="00645D22" w:rsidP="00054B3D">
            <w:pPr>
              <w:rPr>
                <w:rFonts w:cs="Arial"/>
                <w:noProof/>
                <w:color w:val="FFFFFF"/>
                <w:sz w:val="16"/>
                <w:szCs w:val="16"/>
              </w:rPr>
            </w:pPr>
            <w:r w:rsidRPr="004642B4">
              <w:rPr>
                <w:rFonts w:cs="Arial"/>
                <w:b/>
                <w:bCs/>
                <w:i/>
                <w:iCs/>
                <w:color w:val="FFFFFF"/>
                <w:sz w:val="22"/>
                <w:szCs w:val="20"/>
                <w:lang w:val="en-US"/>
              </w:rPr>
              <w:t xml:space="preserve">Other </w:t>
            </w:r>
            <w:r>
              <w:rPr>
                <w:rFonts w:cs="Arial"/>
                <w:b/>
                <w:bCs/>
                <w:i/>
                <w:iCs/>
                <w:color w:val="FFFFFF"/>
                <w:sz w:val="22"/>
                <w:szCs w:val="20"/>
                <w:lang w:val="en-US"/>
              </w:rPr>
              <w:t>UK/</w:t>
            </w:r>
            <w:r w:rsidRPr="004642B4">
              <w:rPr>
                <w:rFonts w:cs="Arial"/>
                <w:b/>
                <w:bCs/>
                <w:i/>
                <w:iCs/>
                <w:color w:val="FFFFFF"/>
                <w:sz w:val="22"/>
                <w:szCs w:val="20"/>
                <w:lang w:val="en-US"/>
              </w:rPr>
              <w:t>EU developments</w:t>
            </w:r>
            <w:r>
              <w:rPr>
                <w:rFonts w:cs="Arial"/>
                <w:b/>
                <w:bCs/>
                <w:i/>
                <w:iCs/>
                <w:color w:val="FFFFFF"/>
                <w:sz w:val="22"/>
                <w:szCs w:val="20"/>
                <w:lang w:val="en-US"/>
              </w:rPr>
              <w:t xml:space="preserve"> </w:t>
            </w:r>
            <w:r w:rsidRPr="00645D22">
              <w:rPr>
                <w:rFonts w:cs="Arial"/>
                <w:b/>
                <w:bCs/>
                <w:color w:val="FFFFFF"/>
                <w:sz w:val="16"/>
                <w:szCs w:val="14"/>
                <w:lang w:val="en-US"/>
              </w:rPr>
              <w:t>(continued)</w:t>
            </w:r>
          </w:p>
        </w:tc>
      </w:tr>
      <w:tr w:rsidR="00645D22" w14:paraId="60482639" w14:textId="77777777" w:rsidTr="00054B3D">
        <w:tc>
          <w:tcPr>
            <w:tcW w:w="1225" w:type="pct"/>
            <w:shd w:val="clear" w:color="auto" w:fill="auto"/>
            <w:tcMar>
              <w:top w:w="57" w:type="dxa"/>
              <w:bottom w:w="57" w:type="dxa"/>
            </w:tcMar>
          </w:tcPr>
          <w:p w14:paraId="13B5C614" w14:textId="77777777" w:rsidR="00645D22" w:rsidRPr="004D3424" w:rsidRDefault="00645D22" w:rsidP="00054B3D">
            <w:pPr>
              <w:rPr>
                <w:rFonts w:cs="Arial"/>
                <w:szCs w:val="19"/>
              </w:rPr>
            </w:pPr>
            <w:r>
              <w:rPr>
                <w:rFonts w:cs="Arial"/>
                <w:szCs w:val="19"/>
              </w:rPr>
              <w:t>Nivolumab (</w:t>
            </w:r>
            <w:proofErr w:type="spellStart"/>
            <w:r>
              <w:rPr>
                <w:rFonts w:cs="Arial"/>
                <w:i/>
                <w:iCs/>
                <w:szCs w:val="19"/>
              </w:rPr>
              <w:t>Opdivo</w:t>
            </w:r>
            <w:proofErr w:type="spellEnd"/>
            <w:r>
              <w:rPr>
                <w:rFonts w:cs="Arial"/>
                <w:szCs w:val="19"/>
              </w:rPr>
              <w:t>)</w:t>
            </w:r>
          </w:p>
        </w:tc>
        <w:tc>
          <w:tcPr>
            <w:tcW w:w="3775" w:type="pct"/>
            <w:gridSpan w:val="2"/>
            <w:shd w:val="clear" w:color="auto" w:fill="auto"/>
            <w:tcMar>
              <w:top w:w="57" w:type="dxa"/>
              <w:bottom w:w="57" w:type="dxa"/>
            </w:tcMar>
          </w:tcPr>
          <w:p w14:paraId="3F7CBAAB" w14:textId="77777777" w:rsidR="00645D22" w:rsidRDefault="00645D22" w:rsidP="00054B3D">
            <w:pPr>
              <w:tabs>
                <w:tab w:val="center" w:pos="3152"/>
              </w:tabs>
              <w:rPr>
                <w:rFonts w:cs="Arial"/>
                <w:szCs w:val="19"/>
                <w:lang w:val="en-US"/>
              </w:rPr>
            </w:pPr>
            <w:r>
              <w:rPr>
                <w:rFonts w:cs="Arial"/>
                <w:szCs w:val="19"/>
                <w:lang w:val="en-US"/>
              </w:rPr>
              <w:t>L</w:t>
            </w:r>
            <w:r w:rsidRPr="004D3424">
              <w:rPr>
                <w:rFonts w:cs="Arial"/>
                <w:szCs w:val="19"/>
                <w:lang w:val="en-US"/>
              </w:rPr>
              <w:t>ocally advanced, non-</w:t>
            </w:r>
            <w:proofErr w:type="spellStart"/>
            <w:r w:rsidRPr="004D3424">
              <w:rPr>
                <w:rFonts w:cs="Arial"/>
                <w:szCs w:val="19"/>
                <w:lang w:val="en-US"/>
              </w:rPr>
              <w:t>resectable</w:t>
            </w:r>
            <w:proofErr w:type="spellEnd"/>
            <w:r w:rsidRPr="004D3424">
              <w:rPr>
                <w:rFonts w:cs="Arial"/>
                <w:szCs w:val="19"/>
                <w:lang w:val="en-US"/>
              </w:rPr>
              <w:t xml:space="preserve"> stage III</w:t>
            </w:r>
            <w:r>
              <w:rPr>
                <w:rFonts w:cs="Arial"/>
                <w:szCs w:val="19"/>
                <w:lang w:val="en-US"/>
              </w:rPr>
              <w:t xml:space="preserve"> n</w:t>
            </w:r>
            <w:r w:rsidRPr="004D3424">
              <w:rPr>
                <w:rFonts w:cs="Arial"/>
                <w:szCs w:val="19"/>
                <w:lang w:val="en-US"/>
              </w:rPr>
              <w:t>on-small cell lung cancer in adults</w:t>
            </w:r>
            <w:r>
              <w:rPr>
                <w:rFonts w:cs="Arial"/>
                <w:szCs w:val="19"/>
                <w:lang w:val="en-US"/>
              </w:rPr>
              <w:t xml:space="preserve">, </w:t>
            </w:r>
            <w:r w:rsidRPr="004D3424">
              <w:rPr>
                <w:rFonts w:cs="Arial"/>
                <w:szCs w:val="19"/>
                <w:lang w:val="en-US"/>
              </w:rPr>
              <w:t xml:space="preserve">first-line with chemoradiotherapy </w:t>
            </w:r>
            <w:r>
              <w:rPr>
                <w:rFonts w:cs="Arial"/>
                <w:szCs w:val="19"/>
                <w:lang w:val="en-US"/>
              </w:rPr>
              <w:t>then</w:t>
            </w:r>
            <w:r w:rsidRPr="004D3424">
              <w:rPr>
                <w:rFonts w:cs="Arial"/>
                <w:szCs w:val="19"/>
                <w:lang w:val="en-US"/>
              </w:rPr>
              <w:t xml:space="preserve"> nivolumab </w:t>
            </w:r>
            <w:r>
              <w:rPr>
                <w:rFonts w:cs="Arial"/>
                <w:szCs w:val="19"/>
                <w:lang w:val="en-US"/>
              </w:rPr>
              <w:t>and</w:t>
            </w:r>
            <w:r w:rsidRPr="004D3424">
              <w:rPr>
                <w:rFonts w:cs="Arial"/>
                <w:szCs w:val="19"/>
                <w:lang w:val="en-US"/>
              </w:rPr>
              <w:t xml:space="preserve"> ipilimumab</w:t>
            </w:r>
            <w:r>
              <w:rPr>
                <w:rFonts w:cs="Arial"/>
                <w:szCs w:val="19"/>
                <w:lang w:val="en-US"/>
              </w:rPr>
              <w:t xml:space="preserve"> – development discontinued </w:t>
            </w:r>
          </w:p>
          <w:p w14:paraId="2F11FDF3" w14:textId="77777777" w:rsidR="00645D22" w:rsidRDefault="00645D22" w:rsidP="00054B3D">
            <w:pPr>
              <w:tabs>
                <w:tab w:val="center" w:pos="3152"/>
              </w:tabs>
              <w:rPr>
                <w:rFonts w:cs="Arial"/>
                <w:szCs w:val="19"/>
                <w:lang w:val="en-US"/>
              </w:rPr>
            </w:pPr>
            <w:r>
              <w:rPr>
                <w:rFonts w:cs="Arial"/>
                <w:szCs w:val="19"/>
                <w:lang w:val="en-US"/>
              </w:rPr>
              <w:t>(lack of efficacy)</w:t>
            </w:r>
          </w:p>
        </w:tc>
      </w:tr>
      <w:tr w:rsidR="00645D22" w14:paraId="0322BA89" w14:textId="77777777" w:rsidTr="00054B3D">
        <w:tc>
          <w:tcPr>
            <w:tcW w:w="1225" w:type="pct"/>
            <w:shd w:val="clear" w:color="auto" w:fill="auto"/>
            <w:tcMar>
              <w:top w:w="57" w:type="dxa"/>
              <w:bottom w:w="57" w:type="dxa"/>
            </w:tcMar>
          </w:tcPr>
          <w:p w14:paraId="4AEF3578" w14:textId="77777777" w:rsidR="00645D22" w:rsidRPr="00660B05" w:rsidRDefault="00645D22" w:rsidP="00054B3D">
            <w:pPr>
              <w:rPr>
                <w:rFonts w:cs="Arial"/>
                <w:szCs w:val="19"/>
              </w:rPr>
            </w:pPr>
            <w:proofErr w:type="spellStart"/>
            <w:r w:rsidRPr="0035487E">
              <w:rPr>
                <w:rFonts w:cs="Arial"/>
                <w:szCs w:val="19"/>
              </w:rPr>
              <w:t>Selpercatinib</w:t>
            </w:r>
            <w:proofErr w:type="spellEnd"/>
            <w:r>
              <w:rPr>
                <w:rFonts w:cs="Arial"/>
                <w:szCs w:val="19"/>
              </w:rPr>
              <w:t xml:space="preserve"> (</w:t>
            </w:r>
            <w:proofErr w:type="spellStart"/>
            <w:r>
              <w:rPr>
                <w:rFonts w:cs="Arial"/>
                <w:i/>
                <w:iCs/>
                <w:szCs w:val="19"/>
              </w:rPr>
              <w:t>Retsevmo</w:t>
            </w:r>
            <w:proofErr w:type="spellEnd"/>
            <w:r>
              <w:rPr>
                <w:rFonts w:cs="Arial"/>
                <w:szCs w:val="19"/>
              </w:rPr>
              <w:t>)</w:t>
            </w:r>
          </w:p>
        </w:tc>
        <w:tc>
          <w:tcPr>
            <w:tcW w:w="3775" w:type="pct"/>
            <w:gridSpan w:val="2"/>
            <w:shd w:val="clear" w:color="auto" w:fill="auto"/>
            <w:tcMar>
              <w:top w:w="57" w:type="dxa"/>
              <w:bottom w:w="57" w:type="dxa"/>
            </w:tcMar>
          </w:tcPr>
          <w:p w14:paraId="55E3117D" w14:textId="77777777" w:rsidR="00645D22" w:rsidRPr="008E641A" w:rsidRDefault="00645D22" w:rsidP="00054B3D">
            <w:pPr>
              <w:tabs>
                <w:tab w:val="center" w:pos="3152"/>
              </w:tabs>
              <w:rPr>
                <w:rFonts w:cs="Arial"/>
                <w:szCs w:val="19"/>
                <w:lang w:val="en-US"/>
              </w:rPr>
            </w:pPr>
            <w:r>
              <w:rPr>
                <w:rFonts w:cs="Arial"/>
                <w:szCs w:val="19"/>
                <w:lang w:val="en-US"/>
              </w:rPr>
              <w:t>A</w:t>
            </w:r>
            <w:r w:rsidRPr="0035487E">
              <w:rPr>
                <w:rFonts w:cs="Arial"/>
                <w:szCs w:val="19"/>
                <w:lang w:val="en-US"/>
              </w:rPr>
              <w:t>dvanced relapsed or refractory, RET fusion-positive</w:t>
            </w:r>
            <w:r>
              <w:rPr>
                <w:rFonts w:cs="Arial"/>
                <w:szCs w:val="19"/>
                <w:lang w:val="en-US"/>
              </w:rPr>
              <w:t xml:space="preserve"> s</w:t>
            </w:r>
            <w:r w:rsidRPr="0035487E">
              <w:rPr>
                <w:rFonts w:cs="Arial"/>
                <w:szCs w:val="19"/>
                <w:lang w:val="en-US"/>
              </w:rPr>
              <w:t xml:space="preserve">olid </w:t>
            </w:r>
            <w:proofErr w:type="spellStart"/>
            <w:r w:rsidRPr="0035487E">
              <w:rPr>
                <w:rFonts w:cs="Arial"/>
                <w:szCs w:val="19"/>
                <w:lang w:val="en-US"/>
              </w:rPr>
              <w:t>tumours</w:t>
            </w:r>
            <w:proofErr w:type="spellEnd"/>
            <w:r w:rsidRPr="0035487E">
              <w:rPr>
                <w:rFonts w:cs="Arial"/>
                <w:szCs w:val="19"/>
                <w:lang w:val="en-US"/>
              </w:rPr>
              <w:t xml:space="preserve"> in people aged 12 years and older</w:t>
            </w:r>
            <w:r>
              <w:rPr>
                <w:rFonts w:cs="Arial"/>
                <w:szCs w:val="19"/>
                <w:lang w:val="en-US"/>
              </w:rPr>
              <w:t xml:space="preserve">, </w:t>
            </w:r>
            <w:r w:rsidRPr="0035487E">
              <w:rPr>
                <w:rFonts w:cs="Arial"/>
                <w:szCs w:val="19"/>
                <w:lang w:val="en-US"/>
              </w:rPr>
              <w:t>last-line</w:t>
            </w:r>
            <w:r>
              <w:rPr>
                <w:rFonts w:cs="Arial"/>
                <w:szCs w:val="19"/>
                <w:lang w:val="en-US"/>
              </w:rPr>
              <w:t xml:space="preserve"> – UK development discontinued (company decision)</w:t>
            </w:r>
          </w:p>
        </w:tc>
      </w:tr>
      <w:tr w:rsidR="00645D22" w14:paraId="54A8D8F8" w14:textId="77777777" w:rsidTr="00054B3D">
        <w:tc>
          <w:tcPr>
            <w:tcW w:w="1225" w:type="pct"/>
            <w:shd w:val="clear" w:color="auto" w:fill="auto"/>
            <w:tcMar>
              <w:top w:w="57" w:type="dxa"/>
              <w:bottom w:w="57" w:type="dxa"/>
            </w:tcMar>
          </w:tcPr>
          <w:p w14:paraId="665AD03E" w14:textId="77777777" w:rsidR="00645D22" w:rsidRPr="0035487E" w:rsidRDefault="00645D22" w:rsidP="00054B3D">
            <w:pPr>
              <w:rPr>
                <w:rFonts w:cs="Arial"/>
                <w:szCs w:val="19"/>
              </w:rPr>
            </w:pPr>
            <w:proofErr w:type="spellStart"/>
            <w:r w:rsidRPr="009129D4">
              <w:rPr>
                <w:rFonts w:cs="Arial"/>
                <w:szCs w:val="19"/>
              </w:rPr>
              <w:t>Sisunatovir</w:t>
            </w:r>
            <w:proofErr w:type="spellEnd"/>
            <w:r>
              <w:rPr>
                <w:rFonts w:cs="Arial"/>
                <w:szCs w:val="19"/>
              </w:rPr>
              <w:t xml:space="preserve"> </w:t>
            </w:r>
          </w:p>
        </w:tc>
        <w:tc>
          <w:tcPr>
            <w:tcW w:w="3775" w:type="pct"/>
            <w:gridSpan w:val="2"/>
            <w:shd w:val="clear" w:color="auto" w:fill="auto"/>
            <w:tcMar>
              <w:top w:w="57" w:type="dxa"/>
              <w:bottom w:w="57" w:type="dxa"/>
            </w:tcMar>
          </w:tcPr>
          <w:p w14:paraId="44F3B663" w14:textId="77777777" w:rsidR="00645D22" w:rsidRDefault="00645D22" w:rsidP="00054B3D">
            <w:pPr>
              <w:tabs>
                <w:tab w:val="center" w:pos="3152"/>
              </w:tabs>
              <w:rPr>
                <w:rFonts w:cs="Arial"/>
                <w:szCs w:val="19"/>
                <w:lang w:val="en-US"/>
              </w:rPr>
            </w:pPr>
            <w:r>
              <w:rPr>
                <w:rFonts w:cs="Arial"/>
                <w:szCs w:val="19"/>
                <w:lang w:val="en-US"/>
              </w:rPr>
              <w:t>Treatment of r</w:t>
            </w:r>
            <w:r w:rsidRPr="009129D4">
              <w:rPr>
                <w:rFonts w:cs="Arial"/>
                <w:szCs w:val="19"/>
                <w:lang w:val="en-US"/>
              </w:rPr>
              <w:t>espiratory syncytial virus (RSV) infection in adults and children with risk factors for severe RSV</w:t>
            </w:r>
            <w:r>
              <w:rPr>
                <w:rFonts w:cs="Arial"/>
                <w:szCs w:val="19"/>
                <w:lang w:val="en-US"/>
              </w:rPr>
              <w:t xml:space="preserve"> – development discontinued (company decision)</w:t>
            </w:r>
          </w:p>
        </w:tc>
      </w:tr>
      <w:tr w:rsidR="00645D22" w:rsidRPr="000F19E1" w14:paraId="1276DEFD" w14:textId="77777777" w:rsidTr="00054B3D">
        <w:tc>
          <w:tcPr>
            <w:tcW w:w="1225" w:type="pct"/>
            <w:shd w:val="clear" w:color="auto" w:fill="auto"/>
            <w:tcMar>
              <w:top w:w="0" w:type="dxa"/>
              <w:bottom w:w="0" w:type="dxa"/>
            </w:tcMar>
          </w:tcPr>
          <w:p w14:paraId="6C98763C" w14:textId="77777777" w:rsidR="00645D22" w:rsidRPr="000F19E1" w:rsidRDefault="00645D22" w:rsidP="00054B3D">
            <w:pPr>
              <w:rPr>
                <w:rFonts w:cs="Arial"/>
                <w:bCs/>
                <w:sz w:val="8"/>
                <w:szCs w:val="8"/>
              </w:rPr>
            </w:pPr>
          </w:p>
        </w:tc>
        <w:tc>
          <w:tcPr>
            <w:tcW w:w="3775" w:type="pct"/>
            <w:gridSpan w:val="2"/>
            <w:shd w:val="clear" w:color="auto" w:fill="auto"/>
            <w:tcMar>
              <w:top w:w="0" w:type="dxa"/>
              <w:bottom w:w="0" w:type="dxa"/>
            </w:tcMar>
          </w:tcPr>
          <w:p w14:paraId="2FFCDB53" w14:textId="77777777" w:rsidR="00645D22" w:rsidRPr="000F19E1" w:rsidRDefault="00645D22" w:rsidP="00054B3D">
            <w:pPr>
              <w:tabs>
                <w:tab w:val="center" w:pos="3152"/>
              </w:tabs>
              <w:rPr>
                <w:rFonts w:cs="Arial"/>
                <w:sz w:val="8"/>
                <w:szCs w:val="8"/>
                <w:lang w:val="en-US"/>
              </w:rPr>
            </w:pPr>
          </w:p>
        </w:tc>
      </w:tr>
      <w:tr w:rsidR="00645D22" w:rsidRPr="000F19E1" w14:paraId="5538F8DB" w14:textId="77777777" w:rsidTr="00054B3D">
        <w:tc>
          <w:tcPr>
            <w:tcW w:w="1225" w:type="pct"/>
            <w:shd w:val="clear" w:color="auto" w:fill="DAEEF3"/>
            <w:tcMar>
              <w:top w:w="0" w:type="dxa"/>
              <w:bottom w:w="0" w:type="dxa"/>
            </w:tcMar>
          </w:tcPr>
          <w:p w14:paraId="75554F99" w14:textId="77777777" w:rsidR="00645D22" w:rsidRPr="000F19E1" w:rsidRDefault="00645D22" w:rsidP="00054B3D">
            <w:pPr>
              <w:rPr>
                <w:rFonts w:cs="Arial"/>
                <w:bCs/>
                <w:sz w:val="8"/>
                <w:szCs w:val="8"/>
              </w:rPr>
            </w:pPr>
          </w:p>
        </w:tc>
        <w:tc>
          <w:tcPr>
            <w:tcW w:w="3775" w:type="pct"/>
            <w:gridSpan w:val="2"/>
            <w:shd w:val="clear" w:color="auto" w:fill="DAEEF3"/>
            <w:tcMar>
              <w:top w:w="0" w:type="dxa"/>
              <w:bottom w:w="0" w:type="dxa"/>
            </w:tcMar>
          </w:tcPr>
          <w:p w14:paraId="64DB898E" w14:textId="77777777" w:rsidR="00645D22" w:rsidRPr="000F19E1" w:rsidRDefault="00645D22" w:rsidP="00054B3D">
            <w:pPr>
              <w:tabs>
                <w:tab w:val="center" w:pos="3152"/>
              </w:tabs>
              <w:rPr>
                <w:rFonts w:cs="Arial"/>
                <w:sz w:val="8"/>
                <w:szCs w:val="8"/>
                <w:lang w:val="en-US"/>
              </w:rPr>
            </w:pPr>
          </w:p>
        </w:tc>
      </w:tr>
    </w:tbl>
    <w:p w14:paraId="388BEE51" w14:textId="77777777" w:rsidR="00645D22" w:rsidRPr="008949EF" w:rsidRDefault="00645D22" w:rsidP="003D16EF">
      <w:pPr>
        <w:rPr>
          <w:sz w:val="8"/>
          <w:szCs w:val="8"/>
        </w:rPr>
      </w:pPr>
    </w:p>
    <w:sectPr w:rsidR="00645D22" w:rsidRPr="008949EF" w:rsidSect="00F566AB">
      <w:headerReference w:type="even" r:id="rId17"/>
      <w:headerReference w:type="default" r:id="rId18"/>
      <w:footerReference w:type="default" r:id="rId19"/>
      <w:headerReference w:type="first" r:id="rId20"/>
      <w:type w:val="evenPage"/>
      <w:pgSz w:w="11906" w:h="16838" w:code="9"/>
      <w:pgMar w:top="1021" w:right="851" w:bottom="102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A99C" w14:textId="77777777" w:rsidR="003C6080" w:rsidRDefault="003C6080">
      <w:r>
        <w:separator/>
      </w:r>
    </w:p>
  </w:endnote>
  <w:endnote w:type="continuationSeparator" w:id="0">
    <w:p w14:paraId="79AA3845" w14:textId="77777777" w:rsidR="003C6080" w:rsidRDefault="003C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303" w:type="dxa"/>
      <w:tblBorders>
        <w:top w:val="single" w:sz="4" w:space="0" w:color="000000"/>
        <w:left w:val="single" w:sz="4" w:space="0" w:color="000000"/>
        <w:bottom w:val="single" w:sz="4" w:space="0" w:color="000000"/>
        <w:right w:val="single" w:sz="4" w:space="0" w:color="000000"/>
        <w:insideH w:val="single" w:sz="4" w:space="0" w:color="000000"/>
      </w:tblBorders>
      <w:tblLook w:val="01E0" w:firstRow="1" w:lastRow="1" w:firstColumn="1" w:lastColumn="1" w:noHBand="0" w:noVBand="0"/>
    </w:tblPr>
    <w:tblGrid>
      <w:gridCol w:w="10980"/>
    </w:tblGrid>
    <w:tr w:rsidR="000D44DB" w:rsidRPr="00710A1C" w14:paraId="5A72E147" w14:textId="77777777">
      <w:tc>
        <w:tcPr>
          <w:tcW w:w="10980" w:type="dxa"/>
          <w:shd w:val="clear" w:color="auto" w:fill="3366FF"/>
          <w:tcMar>
            <w:top w:w="28" w:type="dxa"/>
            <w:left w:w="57" w:type="dxa"/>
            <w:bottom w:w="28" w:type="dxa"/>
            <w:right w:w="57" w:type="dxa"/>
          </w:tcMar>
        </w:tcPr>
        <w:p w14:paraId="09995587" w14:textId="77777777" w:rsidR="000D44DB" w:rsidRPr="00710A1C" w:rsidRDefault="000D44DB" w:rsidP="00710A1C">
          <w:pPr>
            <w:spacing w:before="60" w:after="60"/>
            <w:ind w:right="57"/>
            <w:rPr>
              <w:rFonts w:ascii="Verdana" w:hAnsi="Verdana" w:cs="Arial"/>
              <w:b/>
              <w:bCs/>
              <w:color w:val="000080"/>
              <w:sz w:val="15"/>
              <w:szCs w:val="15"/>
              <w:lang w:val="en-US"/>
            </w:rPr>
          </w:pPr>
          <w:r w:rsidRPr="00710A1C">
            <w:rPr>
              <w:rFonts w:ascii="Verdana" w:hAnsi="Verdana" w:cs="Arial"/>
              <w:b/>
              <w:bCs/>
              <w:color w:val="FFFFFF"/>
              <w:sz w:val="15"/>
              <w:szCs w:val="15"/>
              <w:lang w:val="en-US"/>
            </w:rPr>
            <w:t xml:space="preserve">If you do not wish to continue receiving NDO </w:t>
          </w:r>
          <w:r w:rsidRPr="00710A1C">
            <w:rPr>
              <w:rFonts w:ascii="Verdana" w:hAnsi="Verdana" w:cs="Arial"/>
              <w:b/>
              <w:bCs/>
              <w:i/>
              <w:color w:val="FFFFFF"/>
              <w:sz w:val="15"/>
              <w:szCs w:val="15"/>
              <w:lang w:val="en-US"/>
            </w:rPr>
            <w:t>Newsletter</w:t>
          </w:r>
          <w:r w:rsidRPr="00710A1C">
            <w:rPr>
              <w:rFonts w:ascii="Verdana" w:hAnsi="Verdana" w:cs="Arial"/>
              <w:b/>
              <w:bCs/>
              <w:color w:val="FFFFFF"/>
              <w:sz w:val="15"/>
              <w:szCs w:val="15"/>
              <w:lang w:val="en-US"/>
            </w:rPr>
            <w:t xml:space="preserve"> log in and update your profile at </w:t>
          </w:r>
          <w:hyperlink r:id="rId1" w:history="1">
            <w:r w:rsidRPr="00710A1C">
              <w:rPr>
                <w:rStyle w:val="Hyperlink"/>
                <w:rFonts w:cs="Arial"/>
                <w:b/>
                <w:bCs/>
                <w:color w:val="FFFFFF"/>
                <w:sz w:val="15"/>
                <w:szCs w:val="15"/>
                <w:lang w:val="en-US"/>
              </w:rPr>
              <w:t>www.ukmi.nhs.uk/ndo</w:t>
            </w:r>
          </w:hyperlink>
        </w:p>
      </w:tc>
    </w:tr>
    <w:tr w:rsidR="000D44DB" w14:paraId="2199B564" w14:textId="77777777">
      <w:tc>
        <w:tcPr>
          <w:tcW w:w="10980" w:type="dxa"/>
          <w:shd w:val="clear" w:color="auto" w:fill="auto"/>
          <w:tcMar>
            <w:left w:w="28" w:type="dxa"/>
            <w:right w:w="28" w:type="dxa"/>
          </w:tcMar>
        </w:tcPr>
        <w:p w14:paraId="04393458" w14:textId="77777777" w:rsidR="000D44DB" w:rsidRPr="00710A1C" w:rsidRDefault="000D44DB" w:rsidP="00710A1C">
          <w:pPr>
            <w:spacing w:before="120" w:after="60"/>
            <w:ind w:left="57" w:right="57"/>
            <w:rPr>
              <w:sz w:val="15"/>
              <w:szCs w:val="15"/>
            </w:rPr>
          </w:pPr>
          <w:r w:rsidRPr="00710A1C">
            <w:rPr>
              <w:rFonts w:ascii="Verdana" w:hAnsi="Verdana" w:cs="Arial"/>
              <w:b/>
              <w:bCs/>
              <w:color w:val="333399"/>
              <w:sz w:val="15"/>
              <w:szCs w:val="15"/>
              <w:lang w:val="en-US"/>
            </w:rPr>
            <w:t>In September 2011</w:t>
          </w:r>
          <w:r w:rsidRPr="00710A1C">
            <w:rPr>
              <w:rFonts w:ascii="Verdana" w:hAnsi="Verdana" w:cs="Arial"/>
              <w:bCs/>
              <w:color w:val="000000"/>
              <w:sz w:val="15"/>
              <w:szCs w:val="15"/>
              <w:lang w:val="en-US"/>
            </w:rPr>
            <w:t xml:space="preserve"> </w:t>
          </w:r>
          <w:r w:rsidRPr="00710A1C">
            <w:rPr>
              <w:rFonts w:ascii="Verdana" w:hAnsi="Verdana" w:cs="Arial"/>
              <w:b/>
              <w:bCs/>
              <w:color w:val="000000"/>
              <w:sz w:val="15"/>
              <w:szCs w:val="15"/>
              <w:lang w:val="en-US"/>
            </w:rPr>
            <w:t>| 229 monographs updated | 14 evidence-based evaluations added | 2,200 registered NDO users</w:t>
          </w:r>
        </w:p>
      </w:tc>
    </w:tr>
  </w:tbl>
  <w:p w14:paraId="20D07141" w14:textId="77777777" w:rsidR="000D44DB" w:rsidRDefault="000D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07F440EB" w14:textId="77777777" w:rsidTr="001734BF">
      <w:trPr>
        <w:trHeight w:val="262"/>
      </w:trPr>
      <w:tc>
        <w:tcPr>
          <w:tcW w:w="10774" w:type="dxa"/>
          <w:shd w:val="clear" w:color="auto" w:fill="0070C0"/>
          <w:tcMar>
            <w:top w:w="28" w:type="dxa"/>
            <w:left w:w="57" w:type="dxa"/>
            <w:bottom w:w="28" w:type="dxa"/>
            <w:right w:w="57" w:type="dxa"/>
          </w:tcMar>
        </w:tcPr>
        <w:p w14:paraId="421DAFF6"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This is a NHS document not to be used for commercial purposes</w:t>
          </w:r>
        </w:p>
      </w:tc>
    </w:tr>
    <w:tr w:rsidR="001F4283" w:rsidRPr="00862949" w14:paraId="64A43D7E" w14:textId="77777777" w:rsidTr="001734BF">
      <w:trPr>
        <w:trHeight w:val="331"/>
      </w:trPr>
      <w:tc>
        <w:tcPr>
          <w:tcW w:w="10774" w:type="dxa"/>
          <w:shd w:val="clear" w:color="auto" w:fill="DAEEF3"/>
          <w:tcMar>
            <w:left w:w="28" w:type="dxa"/>
            <w:right w:w="28" w:type="dxa"/>
          </w:tcMar>
        </w:tcPr>
        <w:p w14:paraId="406B34F6"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w:t>
          </w:r>
          <w:proofErr w:type="spellStart"/>
          <w:r w:rsidRPr="00114EBA">
            <w:rPr>
              <w:rFonts w:cs="Arial"/>
              <w:bCs/>
              <w:color w:val="000000"/>
              <w:sz w:val="17"/>
              <w:szCs w:val="17"/>
              <w:lang w:val="en-US"/>
            </w:rPr>
            <w:t>organisations</w:t>
          </w:r>
          <w:proofErr w:type="spellEnd"/>
          <w:r w:rsidRPr="00114EBA">
            <w:rPr>
              <w:rFonts w:cs="Arial"/>
              <w:bCs/>
              <w:color w:val="000000"/>
              <w:sz w:val="17"/>
              <w:szCs w:val="17"/>
              <w:lang w:val="en-US"/>
            </w:rPr>
            <w:t xml:space="preserve"> develop medicines management policies and to inform prescribing decisions when a product has been launched. </w:t>
          </w:r>
        </w:p>
        <w:p w14:paraId="6BDBA70B"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0BD7E537" w14:textId="77777777" w:rsidR="000D44DB" w:rsidRDefault="000D4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010A613E" w14:textId="77777777" w:rsidTr="001734BF">
      <w:trPr>
        <w:trHeight w:val="262"/>
      </w:trPr>
      <w:tc>
        <w:tcPr>
          <w:tcW w:w="10774" w:type="dxa"/>
          <w:shd w:val="clear" w:color="auto" w:fill="0070C0"/>
          <w:tcMar>
            <w:top w:w="28" w:type="dxa"/>
            <w:left w:w="57" w:type="dxa"/>
            <w:bottom w:w="28" w:type="dxa"/>
            <w:right w:w="57" w:type="dxa"/>
          </w:tcMar>
        </w:tcPr>
        <w:p w14:paraId="00DEDE7F"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This is a NHS document not to be used for commercial purposes</w:t>
          </w:r>
        </w:p>
      </w:tc>
    </w:tr>
    <w:tr w:rsidR="001F4283" w:rsidRPr="00862949" w14:paraId="39465FCF" w14:textId="77777777" w:rsidTr="001734BF">
      <w:trPr>
        <w:trHeight w:val="331"/>
      </w:trPr>
      <w:tc>
        <w:tcPr>
          <w:tcW w:w="10774" w:type="dxa"/>
          <w:shd w:val="clear" w:color="auto" w:fill="DAEEF3"/>
          <w:tcMar>
            <w:left w:w="28" w:type="dxa"/>
            <w:right w:w="28" w:type="dxa"/>
          </w:tcMar>
        </w:tcPr>
        <w:p w14:paraId="0641365C"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w:t>
          </w:r>
          <w:proofErr w:type="spellStart"/>
          <w:r w:rsidRPr="00114EBA">
            <w:rPr>
              <w:rFonts w:cs="Arial"/>
              <w:bCs/>
              <w:color w:val="000000"/>
              <w:sz w:val="17"/>
              <w:szCs w:val="17"/>
              <w:lang w:val="en-US"/>
            </w:rPr>
            <w:t>organisations</w:t>
          </w:r>
          <w:proofErr w:type="spellEnd"/>
          <w:r w:rsidRPr="00114EBA">
            <w:rPr>
              <w:rFonts w:cs="Arial"/>
              <w:bCs/>
              <w:color w:val="000000"/>
              <w:sz w:val="17"/>
              <w:szCs w:val="17"/>
              <w:lang w:val="en-US"/>
            </w:rPr>
            <w:t xml:space="preserve"> develop medicines management policies and to inform prescribing decisions when a product has been launched. </w:t>
          </w:r>
        </w:p>
        <w:p w14:paraId="0ECF1431"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5BD657EC" w14:textId="77777777" w:rsidR="000D44DB" w:rsidRPr="00862949" w:rsidRDefault="000D44DB" w:rsidP="00F95449">
    <w:pPr>
      <w:spacing w:before="60" w:after="60"/>
      <w:ind w:left="57" w:right="57"/>
      <w:jc w:val="center"/>
      <w:rPr>
        <w:rFonts w:cs="Arial"/>
        <w:bCs/>
        <w:color w:val="333399"/>
        <w:sz w:val="8"/>
        <w:szCs w:val="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AD4B" w14:textId="77777777" w:rsidR="003C6080" w:rsidRDefault="003C6080">
      <w:r>
        <w:separator/>
      </w:r>
    </w:p>
  </w:footnote>
  <w:footnote w:type="continuationSeparator" w:id="0">
    <w:p w14:paraId="22AE36FB" w14:textId="77777777" w:rsidR="003C6080" w:rsidRDefault="003C6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4BFB" w14:textId="03F38A66" w:rsidR="000D44DB" w:rsidRPr="00CD021E" w:rsidRDefault="00CD021E" w:rsidP="009A09B7">
    <w:pPr>
      <w:pStyle w:val="Header"/>
      <w:rPr>
        <w:rFonts w:ascii="Verdana" w:hAnsi="Verdana" w:cs="Arial"/>
        <w:b/>
        <w:bCs/>
        <w:i/>
        <w:color w:val="33CCCC"/>
        <w:sz w:val="52"/>
        <w:szCs w:val="5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216" behindDoc="1" locked="0" layoutInCell="1" allowOverlap="1" wp14:anchorId="52AB665F" wp14:editId="14831D9C">
          <wp:simplePos x="0" y="0"/>
          <wp:positionH relativeFrom="column">
            <wp:posOffset>5715000</wp:posOffset>
          </wp:positionH>
          <wp:positionV relativeFrom="paragraph">
            <wp:posOffset>10795</wp:posOffset>
          </wp:positionV>
          <wp:extent cx="816610" cy="463550"/>
          <wp:effectExtent l="0" t="0" r="2540" b="0"/>
          <wp:wrapTight wrapText="bothSides">
            <wp:wrapPolygon edited="0">
              <wp:start x="0" y="0"/>
              <wp:lineTo x="0" y="20416"/>
              <wp:lineTo x="21163" y="20416"/>
              <wp:lineTo x="21163" y="0"/>
              <wp:lineTo x="0" y="0"/>
            </wp:wrapPolygon>
          </wp:wrapTight>
          <wp:docPr id="18" name="Picture 18" descr="UKMi logo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Mi logo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0513AE03" wp14:editId="5F074F60">
          <wp:simplePos x="0" y="0"/>
          <wp:positionH relativeFrom="column">
            <wp:posOffset>5193665</wp:posOffset>
          </wp:positionH>
          <wp:positionV relativeFrom="paragraph">
            <wp:posOffset>116205</wp:posOffset>
          </wp:positionV>
          <wp:extent cx="533400" cy="219075"/>
          <wp:effectExtent l="0" t="0" r="0" b="9525"/>
          <wp:wrapTight wrapText="bothSides">
            <wp:wrapPolygon edited="0">
              <wp:start x="0" y="0"/>
              <wp:lineTo x="0" y="20661"/>
              <wp:lineTo x="20829" y="20661"/>
              <wp:lineTo x="20829" y="0"/>
              <wp:lineTo x="0" y="0"/>
            </wp:wrapPolygon>
          </wp:wrapTight>
          <wp:docPr id="19" name="Picture 19"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7D0F1C" wp14:editId="76B97AF6">
          <wp:extent cx="1075055" cy="467995"/>
          <wp:effectExtent l="0" t="0" r="0" b="8255"/>
          <wp:docPr id="20" name="Picture 20" descr="N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055" cy="467995"/>
                  </a:xfrm>
                  <a:prstGeom prst="rect">
                    <a:avLst/>
                  </a:prstGeom>
                  <a:noFill/>
                  <a:ln>
                    <a:noFill/>
                  </a:ln>
                </pic:spPr>
              </pic:pic>
            </a:graphicData>
          </a:graphic>
        </wp:inline>
      </w:drawing>
    </w:r>
    <w:r w:rsidR="000D44DB" w:rsidRPr="00CD021E">
      <w:rPr>
        <w:rFonts w:ascii="Verdana" w:hAnsi="Verdana" w:cs="Arial"/>
        <w:b/>
        <w:bCs/>
        <w:i/>
        <w:color w:val="33CCCC"/>
        <w:sz w:val="44"/>
        <w:szCs w:val="44"/>
        <w14:shadow w14:blurRad="50800" w14:dist="38100" w14:dir="2700000" w14:sx="100000" w14:sy="100000" w14:kx="0" w14:ky="0" w14:algn="tl">
          <w14:srgbClr w14:val="000000">
            <w14:alpha w14:val="60000"/>
          </w14:srgbClr>
        </w14:shadow>
      </w:rPr>
      <w:t>Newsletter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ECAC" w14:textId="4C164681" w:rsidR="000D44DB" w:rsidRPr="00CD021E" w:rsidRDefault="00A75BCB" w:rsidP="00BA65A9">
    <w:pPr>
      <w:pStyle w:val="Header"/>
      <w:ind w:left="-142"/>
      <w:rPr>
        <w:rFonts w:cs="Arial"/>
        <w:b/>
        <w:bCs/>
        <w:color w:val="244061"/>
        <w:sz w:val="32"/>
        <w:szCs w:val="32"/>
        <w14:shadow w14:blurRad="50800" w14:dist="38100" w14:dir="2700000" w14:sx="100000" w14:sy="100000" w14:kx="0" w14:ky="0" w14:algn="tl">
          <w14:srgbClr w14:val="000000">
            <w14:alpha w14:val="60000"/>
          </w14:srgbClr>
        </w14:shadow>
      </w:rPr>
    </w:pPr>
    <w:r>
      <w:rPr>
        <w:noProof/>
        <w:color w:val="00B050"/>
        <w:sz w:val="32"/>
        <w:szCs w:val="32"/>
      </w:rPr>
      <w:drawing>
        <wp:anchor distT="0" distB="0" distL="114300" distR="114300" simplePos="0" relativeHeight="251654144" behindDoc="0" locked="0" layoutInCell="1" allowOverlap="1" wp14:anchorId="44AF2EBF" wp14:editId="0FA12723">
          <wp:simplePos x="0" y="0"/>
          <wp:positionH relativeFrom="column">
            <wp:posOffset>6073775</wp:posOffset>
          </wp:positionH>
          <wp:positionV relativeFrom="paragraph">
            <wp:posOffset>-21590</wp:posOffset>
          </wp:positionV>
          <wp:extent cx="521335" cy="213995"/>
          <wp:effectExtent l="0" t="0" r="0" b="0"/>
          <wp:wrapNone/>
          <wp:docPr id="21" name="Picture 21"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543D3" w14:textId="77777777" w:rsidR="000D44DB" w:rsidRPr="00CD021E" w:rsidRDefault="00CD021E" w:rsidP="00C3217F">
    <w:pPr>
      <w:pStyle w:val="Header"/>
      <w:tabs>
        <w:tab w:val="clear" w:pos="8306"/>
        <w:tab w:val="left" w:pos="7830"/>
      </w:tabs>
      <w:ind w:left="-255" w:hanging="142"/>
      <w:rPr>
        <w:rFonts w:cs="Arial"/>
        <w:b/>
        <w:bCs/>
        <w:i/>
        <w:color w:val="244061"/>
        <w:sz w:val="72"/>
        <w:szCs w:val="72"/>
        <w14:shadow w14:blurRad="50800" w14:dist="38100" w14:dir="2700000" w14:sx="100000" w14:sy="100000" w14:kx="0" w14:ky="0" w14:algn="tl">
          <w14:srgbClr w14:val="000000">
            <w14:alpha w14:val="60000"/>
          </w14:srgbClr>
        </w14:shadow>
      </w:rPr>
    </w:pPr>
    <w:r>
      <w:rPr>
        <w:rFonts w:cs="Arial"/>
        <w:b/>
        <w:bCs/>
        <w:noProof/>
        <w:color w:val="00B050"/>
        <w:sz w:val="72"/>
        <w:szCs w:val="72"/>
      </w:rPr>
      <w:drawing>
        <wp:anchor distT="0" distB="0" distL="114300" distR="114300" simplePos="0" relativeHeight="251661312" behindDoc="1" locked="0" layoutInCell="1" allowOverlap="1" wp14:anchorId="73D1C738" wp14:editId="51D4A1D5">
          <wp:simplePos x="0" y="0"/>
          <wp:positionH relativeFrom="column">
            <wp:posOffset>-360045</wp:posOffset>
          </wp:positionH>
          <wp:positionV relativeFrom="paragraph">
            <wp:posOffset>34925</wp:posOffset>
          </wp:positionV>
          <wp:extent cx="1051560" cy="448945"/>
          <wp:effectExtent l="0" t="0" r="0"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44894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t xml:space="preserve">      New Medicines</w:t>
    </w:r>
    <w:r w:rsidR="000D44DB" w:rsidRPr="00CD021E">
      <w:rPr>
        <w:rFonts w:cs="Arial"/>
        <w:b/>
        <w:bCs/>
        <w:i/>
        <w:color w:val="244061"/>
        <w:sz w:val="72"/>
        <w:szCs w:val="72"/>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72"/>
        <w:szCs w:val="72"/>
        <w14:shadow w14:blurRad="50800" w14:dist="38100" w14:dir="2700000" w14:sx="100000" w14:sy="100000" w14:kx="0" w14:ky="0" w14:algn="tl">
          <w14:srgbClr w14:val="000000">
            <w14:alpha w14:val="60000"/>
          </w14:srgbClr>
        </w14:shadow>
      </w:rPr>
      <w:t>News</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D44DB" w:rsidRPr="00CD021E" w14:paraId="50DF0ECB" w14:textId="77777777" w:rsidTr="002772ED">
      <w:tc>
        <w:tcPr>
          <w:tcW w:w="10774" w:type="dxa"/>
          <w:tcBorders>
            <w:top w:val="nil"/>
            <w:left w:val="nil"/>
            <w:bottom w:val="nil"/>
            <w:right w:val="nil"/>
          </w:tcBorders>
          <w:shd w:val="clear" w:color="auto" w:fill="DAEEF3"/>
        </w:tcPr>
        <w:p w14:paraId="0977B81E" w14:textId="3E0B2C68" w:rsidR="000D44DB" w:rsidRPr="00CD021E" w:rsidRDefault="003C6080" w:rsidP="00EB3E6F">
          <w:pPr>
            <w:pStyle w:val="Header"/>
            <w:spacing w:before="60" w:after="60"/>
            <w:rPr>
              <w:rFonts w:cs="Arial"/>
              <w:b/>
              <w:bCs/>
              <w:color w:val="000000"/>
              <w:sz w:val="36"/>
              <w:szCs w:val="36"/>
              <w14:shadow w14:blurRad="50800" w14:dist="38100" w14:dir="2700000" w14:sx="100000" w14:sy="100000" w14:kx="0" w14:ky="0" w14:algn="tl">
                <w14:srgbClr w14:val="000000">
                  <w14:alpha w14:val="60000"/>
                </w14:srgbClr>
              </w14:shadow>
            </w:rPr>
          </w:pPr>
          <w:r>
            <w:rPr>
              <w:rFonts w:cs="Arial"/>
              <w:b/>
              <w:bCs/>
              <w:color w:val="0070C0"/>
              <w:sz w:val="36"/>
              <w:szCs w:val="36"/>
              <w14:shadow w14:blurRad="50800" w14:dist="38100" w14:dir="2700000" w14:sx="100000" w14:sy="100000" w14:kx="0" w14:ky="0" w14:algn="tl">
                <w14:srgbClr w14:val="000000">
                  <w14:alpha w14:val="60000"/>
                </w14:srgbClr>
              </w14:shadow>
            </w:rPr>
            <w:t xml:space="preserve">October </w:t>
          </w:r>
          <w:r w:rsidR="00A75BCB">
            <w:rPr>
              <w:rFonts w:cs="Arial"/>
              <w:b/>
              <w:bCs/>
              <w:color w:val="0070C0"/>
              <w:sz w:val="36"/>
              <w:szCs w:val="36"/>
              <w14:shadow w14:blurRad="50800" w14:dist="38100" w14:dir="2700000" w14:sx="100000" w14:sy="100000" w14:kx="0" w14:ky="0" w14:algn="tl">
                <w14:srgbClr w14:val="000000">
                  <w14:alpha w14:val="60000"/>
                </w14:srgbClr>
              </w14:shadow>
            </w:rPr>
            <w:t>202</w:t>
          </w:r>
          <w:r w:rsidR="001D7529">
            <w:rPr>
              <w:rFonts w:cs="Arial"/>
              <w:b/>
              <w:bCs/>
              <w:color w:val="0070C0"/>
              <w:sz w:val="36"/>
              <w:szCs w:val="36"/>
              <w14:shadow w14:blurRad="50800" w14:dist="38100" w14:dir="2700000" w14:sx="100000" w14:sy="100000" w14:kx="0" w14:ky="0" w14:algn="tl">
                <w14:srgbClr w14:val="000000">
                  <w14:alpha w14:val="60000"/>
                </w14:srgbClr>
              </w14:shadow>
            </w:rPr>
            <w:t>4</w:t>
          </w:r>
        </w:p>
      </w:tc>
    </w:tr>
    <w:tr w:rsidR="000D44DB" w:rsidRPr="00CD021E" w14:paraId="0776F9CD" w14:textId="77777777" w:rsidTr="002772ED">
      <w:tc>
        <w:tcPr>
          <w:tcW w:w="10774" w:type="dxa"/>
          <w:tcBorders>
            <w:top w:val="nil"/>
            <w:left w:val="nil"/>
            <w:bottom w:val="nil"/>
            <w:right w:val="nil"/>
          </w:tcBorders>
          <w:shd w:val="clear" w:color="auto" w:fill="0070C0"/>
        </w:tcPr>
        <w:p w14:paraId="18476EEB" w14:textId="77777777" w:rsidR="000D44DB" w:rsidRPr="00CD021E" w:rsidRDefault="000D44DB" w:rsidP="00395D20">
          <w:pPr>
            <w:pStyle w:val="Header"/>
            <w:tabs>
              <w:tab w:val="clear" w:pos="4153"/>
              <w:tab w:val="clear" w:pos="8306"/>
              <w:tab w:val="left" w:pos="2197"/>
            </w:tabs>
            <w:rPr>
              <w:rFonts w:cs="Arial"/>
              <w:b/>
              <w:bCs/>
              <w:color w:val="0070C0"/>
              <w:sz w:val="8"/>
              <w:szCs w:val="8"/>
              <w14:shadow w14:blurRad="50800" w14:dist="38100" w14:dir="2700000" w14:sx="100000" w14:sy="100000" w14:kx="0" w14:ky="0" w14:algn="tl">
                <w14:srgbClr w14:val="000000">
                  <w14:alpha w14:val="60000"/>
                </w14:srgbClr>
              </w14:shadow>
            </w:rPr>
          </w:pPr>
          <w:r w:rsidRPr="00CD021E">
            <w:rPr>
              <w:rFonts w:cs="Arial"/>
              <w:b/>
              <w:bCs/>
              <w:color w:val="0070C0"/>
              <w:sz w:val="28"/>
              <w:szCs w:val="28"/>
              <w14:shadow w14:blurRad="50800" w14:dist="38100" w14:dir="2700000" w14:sx="100000" w14:sy="100000" w14:kx="0" w14:ky="0" w14:algn="tl">
                <w14:srgbClr w14:val="000000">
                  <w14:alpha w14:val="60000"/>
                </w14:srgbClr>
              </w14:shadow>
            </w:rPr>
            <w:tab/>
          </w:r>
        </w:p>
      </w:tc>
    </w:tr>
    <w:tr w:rsidR="000D44DB" w:rsidRPr="00CD021E" w14:paraId="66AA09D7" w14:textId="77777777" w:rsidTr="002772ED">
      <w:tc>
        <w:tcPr>
          <w:tcW w:w="10774" w:type="dxa"/>
          <w:tcBorders>
            <w:top w:val="nil"/>
            <w:left w:val="nil"/>
            <w:bottom w:val="nil"/>
            <w:right w:val="nil"/>
          </w:tcBorders>
          <w:shd w:val="clear" w:color="auto" w:fill="DAEEF3"/>
        </w:tcPr>
        <w:p w14:paraId="7A59EB6F" w14:textId="77777777" w:rsidR="000D44DB" w:rsidRPr="00C315D6" w:rsidRDefault="00885CAE" w:rsidP="00CB6344">
          <w:pPr>
            <w:pStyle w:val="Header"/>
            <w:tabs>
              <w:tab w:val="clear" w:pos="4153"/>
              <w:tab w:val="clear" w:pos="8306"/>
              <w:tab w:val="left" w:pos="2197"/>
            </w:tabs>
            <w:spacing w:before="120" w:after="120"/>
            <w:rPr>
              <w:rFonts w:cs="Arial"/>
              <w:b/>
              <w:bCs/>
              <w:color w:val="0070C0"/>
              <w:sz w:val="18"/>
              <w:szCs w:val="18"/>
            </w:rPr>
          </w:pPr>
          <w:r w:rsidRPr="009B0BCE">
            <w:rPr>
              <w:rFonts w:cs="Arial"/>
              <w:b/>
              <w:bCs/>
              <w:color w:val="0070C0"/>
              <w:sz w:val="18"/>
              <w:szCs w:val="18"/>
            </w:rPr>
            <w:t xml:space="preserve">This newsletter is produced by </w:t>
          </w:r>
          <w:hyperlink r:id="rId3" w:history="1">
            <w:r w:rsidRPr="00551321">
              <w:rPr>
                <w:rStyle w:val="Hyperlink"/>
                <w:rFonts w:ascii="Arial" w:hAnsi="Arial" w:cs="Arial"/>
                <w:b/>
                <w:bCs/>
              </w:rPr>
              <w:t xml:space="preserve">SPS </w:t>
            </w:r>
            <w:r w:rsidR="003C4624">
              <w:rPr>
                <w:rStyle w:val="Hyperlink"/>
                <w:rFonts w:ascii="Arial" w:hAnsi="Arial" w:cs="Arial"/>
                <w:b/>
                <w:bCs/>
              </w:rPr>
              <w:t>H</w:t>
            </w:r>
            <w:r w:rsidRPr="00551321">
              <w:rPr>
                <w:rStyle w:val="Hyperlink"/>
                <w:rFonts w:ascii="Arial" w:hAnsi="Arial" w:cs="Arial"/>
                <w:b/>
                <w:bCs/>
              </w:rPr>
              <w:t xml:space="preserve">orizon </w:t>
            </w:r>
            <w:r w:rsidR="003C4624">
              <w:rPr>
                <w:rStyle w:val="Hyperlink"/>
                <w:rFonts w:ascii="Arial" w:hAnsi="Arial" w:cs="Arial"/>
                <w:b/>
                <w:bCs/>
              </w:rPr>
              <w:t>S</w:t>
            </w:r>
            <w:r w:rsidRPr="00551321">
              <w:rPr>
                <w:rStyle w:val="Hyperlink"/>
                <w:rFonts w:ascii="Arial" w:hAnsi="Arial" w:cs="Arial"/>
                <w:b/>
                <w:bCs/>
              </w:rPr>
              <w:t>canning</w:t>
            </w:r>
          </w:hyperlink>
          <w:r w:rsidRPr="009B0BCE">
            <w:rPr>
              <w:rFonts w:cs="Arial"/>
              <w:b/>
              <w:bCs/>
              <w:color w:val="0070C0"/>
              <w:sz w:val="18"/>
              <w:szCs w:val="18"/>
            </w:rPr>
            <w:t xml:space="preserve"> and highlights recent</w:t>
          </w:r>
          <w:r>
            <w:rPr>
              <w:rFonts w:cs="Arial"/>
              <w:b/>
              <w:bCs/>
              <w:color w:val="0070C0"/>
              <w:sz w:val="18"/>
              <w:szCs w:val="18"/>
            </w:rPr>
            <w:t xml:space="preserve"> new product launches and </w:t>
          </w:r>
          <w:r w:rsidRPr="009B0BCE">
            <w:rPr>
              <w:rFonts w:cs="Arial"/>
              <w:b/>
              <w:bCs/>
              <w:color w:val="0070C0"/>
              <w:sz w:val="18"/>
              <w:szCs w:val="18"/>
            </w:rPr>
            <w:t xml:space="preserve">medicines regulatory changes. More detailed information on medicines </w:t>
          </w:r>
          <w:r>
            <w:rPr>
              <w:rFonts w:cs="Arial"/>
              <w:b/>
              <w:bCs/>
              <w:color w:val="0070C0"/>
              <w:sz w:val="18"/>
              <w:szCs w:val="18"/>
            </w:rPr>
            <w:t>estimated</w:t>
          </w:r>
          <w:r w:rsidRPr="009B0BCE">
            <w:rPr>
              <w:rFonts w:cs="Arial"/>
              <w:b/>
              <w:bCs/>
              <w:color w:val="0070C0"/>
              <w:sz w:val="18"/>
              <w:szCs w:val="18"/>
            </w:rPr>
            <w:t xml:space="preserve"> to </w:t>
          </w:r>
          <w:r>
            <w:rPr>
              <w:rFonts w:cs="Arial"/>
              <w:b/>
              <w:bCs/>
              <w:color w:val="0070C0"/>
              <w:sz w:val="18"/>
              <w:szCs w:val="18"/>
            </w:rPr>
            <w:t>become available for use</w:t>
          </w:r>
          <w:r w:rsidRPr="009B0BCE">
            <w:rPr>
              <w:rFonts w:cs="Arial"/>
              <w:b/>
              <w:bCs/>
              <w:color w:val="0070C0"/>
              <w:sz w:val="18"/>
              <w:szCs w:val="18"/>
            </w:rPr>
            <w:t xml:space="preserve"> in the next 2</w:t>
          </w:r>
          <w:r>
            <w:rPr>
              <w:rFonts w:cs="Arial"/>
              <w:b/>
              <w:bCs/>
              <w:color w:val="0070C0"/>
              <w:sz w:val="18"/>
              <w:szCs w:val="18"/>
            </w:rPr>
            <w:t xml:space="preserve"> financial years</w:t>
          </w:r>
          <w:r w:rsidRPr="009B0BCE">
            <w:rPr>
              <w:rFonts w:cs="Arial"/>
              <w:b/>
              <w:bCs/>
              <w:color w:val="0070C0"/>
              <w:sz w:val="18"/>
              <w:szCs w:val="18"/>
            </w:rPr>
            <w:t xml:space="preserve"> and on marketed medicines expected to have major new indications approved</w:t>
          </w:r>
          <w:r>
            <w:rPr>
              <w:rFonts w:cs="Arial"/>
              <w:b/>
              <w:bCs/>
              <w:color w:val="0070C0"/>
              <w:sz w:val="18"/>
              <w:szCs w:val="18"/>
            </w:rPr>
            <w:t xml:space="preserve"> is</w:t>
          </w:r>
          <w:r w:rsidRPr="009B0BCE">
            <w:rPr>
              <w:rFonts w:cs="Arial"/>
              <w:b/>
              <w:bCs/>
              <w:color w:val="0070C0"/>
              <w:sz w:val="18"/>
              <w:szCs w:val="18"/>
            </w:rPr>
            <w:t xml:space="preserve"> in </w:t>
          </w:r>
          <w:hyperlink r:id="rId4" w:history="1">
            <w:r w:rsidRPr="009B0BCE">
              <w:rPr>
                <w:rStyle w:val="Hyperlink"/>
                <w:rFonts w:ascii="Arial" w:hAnsi="Arial" w:cs="Arial"/>
                <w:b/>
                <w:bCs/>
              </w:rPr>
              <w:t>Prescribing Outlook</w:t>
            </w:r>
          </w:hyperlink>
          <w:r w:rsidRPr="009B0BCE">
            <w:rPr>
              <w:rFonts w:cs="Arial"/>
              <w:b/>
              <w:bCs/>
              <w:color w:val="0070C0"/>
              <w:sz w:val="18"/>
              <w:szCs w:val="18"/>
            </w:rPr>
            <w:t>.</w:t>
          </w:r>
        </w:p>
      </w:tc>
    </w:tr>
  </w:tbl>
  <w:p w14:paraId="24487B83" w14:textId="77777777" w:rsidR="000D44DB" w:rsidRPr="00CD021E" w:rsidRDefault="000D44DB" w:rsidP="00A56726">
    <w:pPr>
      <w:pStyle w:val="Header"/>
      <w:rPr>
        <w:rFonts w:cs="Arial"/>
        <w:b/>
        <w:bCs/>
        <w:color w:val="244061"/>
        <w:sz w:val="8"/>
        <w:szCs w:val="8"/>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4445" w14:textId="4717E025" w:rsidR="0090527B" w:rsidRDefault="00905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B8B1" w14:textId="43352B32" w:rsidR="0090527B" w:rsidRDefault="00905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3D16" w14:textId="5980EC80" w:rsidR="000D44DB" w:rsidRPr="00CD021E" w:rsidRDefault="00A75BCB" w:rsidP="00AC0996">
    <w:pPr>
      <w:pStyle w:val="Header"/>
      <w:tabs>
        <w:tab w:val="clear" w:pos="8306"/>
        <w:tab w:val="left" w:pos="7830"/>
      </w:tabs>
      <w:spacing w:before="120"/>
      <w:ind w:left="-170"/>
      <w:rPr>
        <w:rFonts w:cs="Arial"/>
        <w:b/>
        <w:bCs/>
        <w:i/>
        <w:color w:val="31849B"/>
        <w:sz w:val="44"/>
        <w:szCs w:val="44"/>
        <w14:shadow w14:blurRad="50800" w14:dist="38100" w14:dir="2700000" w14:sx="100000" w14:sy="100000" w14:kx="0" w14:ky="0" w14:algn="tl">
          <w14:srgbClr w14:val="000000">
            <w14:alpha w14:val="60000"/>
          </w14:srgbClr>
        </w14:shadow>
      </w:rPr>
    </w:pPr>
    <w:r>
      <w:rPr>
        <w:rFonts w:cs="Arial"/>
        <w:noProof/>
        <w:color w:val="00A249"/>
        <w:sz w:val="40"/>
        <w:szCs w:val="40"/>
      </w:rPr>
      <w:drawing>
        <wp:anchor distT="0" distB="0" distL="114300" distR="114300" simplePos="0" relativeHeight="251658240" behindDoc="0" locked="0" layoutInCell="1" allowOverlap="1" wp14:anchorId="7D50B43A" wp14:editId="1C1EFF8C">
          <wp:simplePos x="0" y="0"/>
          <wp:positionH relativeFrom="column">
            <wp:posOffset>6182360</wp:posOffset>
          </wp:positionH>
          <wp:positionV relativeFrom="paragraph">
            <wp:posOffset>93345</wp:posOffset>
          </wp:positionV>
          <wp:extent cx="469265" cy="192405"/>
          <wp:effectExtent l="0" t="0" r="6985" b="0"/>
          <wp:wrapNone/>
          <wp:docPr id="8" name="Picture 8"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21E">
      <w:rPr>
        <w:noProof/>
      </w:rPr>
      <w:drawing>
        <wp:anchor distT="0" distB="0" distL="114300" distR="114300" simplePos="0" relativeHeight="251660288" behindDoc="0" locked="0" layoutInCell="1" allowOverlap="1" wp14:anchorId="2E69DA6A" wp14:editId="2DECE50F">
          <wp:simplePos x="0" y="0"/>
          <wp:positionH relativeFrom="column">
            <wp:posOffset>-286385</wp:posOffset>
          </wp:positionH>
          <wp:positionV relativeFrom="paragraph">
            <wp:posOffset>8890</wp:posOffset>
          </wp:positionV>
          <wp:extent cx="940435" cy="401955"/>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0195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A249"/>
        <w:sz w:val="44"/>
        <w:szCs w:val="44"/>
        <w14:shadow w14:blurRad="50800" w14:dist="38100" w14:dir="2700000" w14:sx="100000" w14:sy="100000" w14:kx="0" w14:ky="0" w14:algn="tl">
          <w14:srgbClr w14:val="000000">
            <w14:alpha w14:val="60000"/>
          </w14:srgbClr>
        </w14:shadow>
      </w:rPr>
      <w:t>New Medicines</w:t>
    </w:r>
    <w:r w:rsidR="000D44DB" w:rsidRPr="00CD021E">
      <w:rPr>
        <w:rFonts w:cs="Arial"/>
        <w:b/>
        <w:bCs/>
        <w:i/>
        <w:color w:val="244061"/>
        <w:sz w:val="44"/>
        <w:szCs w:val="44"/>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44"/>
        <w:szCs w:val="44"/>
        <w14:shadow w14:blurRad="50800" w14:dist="38100" w14:dir="2700000" w14:sx="100000" w14:sy="100000" w14:kx="0" w14:ky="0" w14:algn="tl">
          <w14:srgbClr w14:val="000000">
            <w14:alpha w14:val="60000"/>
          </w14:srgbClr>
        </w14:shadow>
      </w:rPr>
      <w:t>News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117C" w14:textId="778DD54F" w:rsidR="0090527B" w:rsidRDefault="0090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6EF9"/>
    <w:multiLevelType w:val="multilevel"/>
    <w:tmpl w:val="29F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55FA1"/>
    <w:multiLevelType w:val="hybridMultilevel"/>
    <w:tmpl w:val="BCF48EAE"/>
    <w:lvl w:ilvl="0" w:tplc="1AB04B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104711">
    <w:abstractNumId w:val="1"/>
  </w:num>
  <w:num w:numId="2" w16cid:durableId="42692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80"/>
    <w:rsid w:val="0000035C"/>
    <w:rsid w:val="000005B6"/>
    <w:rsid w:val="000005EF"/>
    <w:rsid w:val="00000A0A"/>
    <w:rsid w:val="00000BE4"/>
    <w:rsid w:val="00000F87"/>
    <w:rsid w:val="0000199C"/>
    <w:rsid w:val="00001F19"/>
    <w:rsid w:val="0000290B"/>
    <w:rsid w:val="00002A08"/>
    <w:rsid w:val="00003329"/>
    <w:rsid w:val="00003421"/>
    <w:rsid w:val="000034B3"/>
    <w:rsid w:val="00003C95"/>
    <w:rsid w:val="00003D95"/>
    <w:rsid w:val="000042E9"/>
    <w:rsid w:val="00005014"/>
    <w:rsid w:val="00005119"/>
    <w:rsid w:val="00005271"/>
    <w:rsid w:val="000052F0"/>
    <w:rsid w:val="00005673"/>
    <w:rsid w:val="00005703"/>
    <w:rsid w:val="000057D2"/>
    <w:rsid w:val="00005CE9"/>
    <w:rsid w:val="00006527"/>
    <w:rsid w:val="000065F4"/>
    <w:rsid w:val="000072EC"/>
    <w:rsid w:val="0000751E"/>
    <w:rsid w:val="000075ED"/>
    <w:rsid w:val="0000769C"/>
    <w:rsid w:val="000102A1"/>
    <w:rsid w:val="000102E8"/>
    <w:rsid w:val="00010447"/>
    <w:rsid w:val="0001067C"/>
    <w:rsid w:val="00010B1D"/>
    <w:rsid w:val="00011176"/>
    <w:rsid w:val="000111C5"/>
    <w:rsid w:val="000114B1"/>
    <w:rsid w:val="00011D4B"/>
    <w:rsid w:val="00011E5B"/>
    <w:rsid w:val="00012B74"/>
    <w:rsid w:val="00012BA7"/>
    <w:rsid w:val="00012DCA"/>
    <w:rsid w:val="00012E19"/>
    <w:rsid w:val="00012E28"/>
    <w:rsid w:val="000132A0"/>
    <w:rsid w:val="00013575"/>
    <w:rsid w:val="000135BF"/>
    <w:rsid w:val="00013853"/>
    <w:rsid w:val="00013B16"/>
    <w:rsid w:val="00013CD9"/>
    <w:rsid w:val="00013E21"/>
    <w:rsid w:val="00014028"/>
    <w:rsid w:val="00014115"/>
    <w:rsid w:val="00014240"/>
    <w:rsid w:val="0001441B"/>
    <w:rsid w:val="00014631"/>
    <w:rsid w:val="00014657"/>
    <w:rsid w:val="000148ED"/>
    <w:rsid w:val="00014AFE"/>
    <w:rsid w:val="00015455"/>
    <w:rsid w:val="000158C2"/>
    <w:rsid w:val="00015915"/>
    <w:rsid w:val="000159C6"/>
    <w:rsid w:val="00015A48"/>
    <w:rsid w:val="00015B43"/>
    <w:rsid w:val="000165BE"/>
    <w:rsid w:val="000166D7"/>
    <w:rsid w:val="0001694F"/>
    <w:rsid w:val="00016C87"/>
    <w:rsid w:val="00016CDC"/>
    <w:rsid w:val="00016E17"/>
    <w:rsid w:val="000171BC"/>
    <w:rsid w:val="000173BA"/>
    <w:rsid w:val="0001791D"/>
    <w:rsid w:val="00017CA2"/>
    <w:rsid w:val="00017D66"/>
    <w:rsid w:val="00020261"/>
    <w:rsid w:val="000202B3"/>
    <w:rsid w:val="000202FE"/>
    <w:rsid w:val="000203F6"/>
    <w:rsid w:val="000207FB"/>
    <w:rsid w:val="00020D00"/>
    <w:rsid w:val="0002143C"/>
    <w:rsid w:val="0002181A"/>
    <w:rsid w:val="000225BB"/>
    <w:rsid w:val="000225EE"/>
    <w:rsid w:val="0002265E"/>
    <w:rsid w:val="0002269F"/>
    <w:rsid w:val="00022775"/>
    <w:rsid w:val="0002291B"/>
    <w:rsid w:val="000229C8"/>
    <w:rsid w:val="00022CCE"/>
    <w:rsid w:val="00022FB9"/>
    <w:rsid w:val="0002372C"/>
    <w:rsid w:val="00023B87"/>
    <w:rsid w:val="00023E2E"/>
    <w:rsid w:val="00023FBB"/>
    <w:rsid w:val="000249F1"/>
    <w:rsid w:val="00025142"/>
    <w:rsid w:val="00025A1E"/>
    <w:rsid w:val="00025AD9"/>
    <w:rsid w:val="00025B8F"/>
    <w:rsid w:val="00026E35"/>
    <w:rsid w:val="00026FAE"/>
    <w:rsid w:val="0002715B"/>
    <w:rsid w:val="00027AC3"/>
    <w:rsid w:val="00027B21"/>
    <w:rsid w:val="00027C1C"/>
    <w:rsid w:val="00027D1D"/>
    <w:rsid w:val="00027E7C"/>
    <w:rsid w:val="00030002"/>
    <w:rsid w:val="0003000F"/>
    <w:rsid w:val="000305BA"/>
    <w:rsid w:val="00030663"/>
    <w:rsid w:val="0003082E"/>
    <w:rsid w:val="0003092A"/>
    <w:rsid w:val="00030ADE"/>
    <w:rsid w:val="00030B98"/>
    <w:rsid w:val="00030E87"/>
    <w:rsid w:val="00031218"/>
    <w:rsid w:val="00031336"/>
    <w:rsid w:val="00031909"/>
    <w:rsid w:val="00031E46"/>
    <w:rsid w:val="000320DC"/>
    <w:rsid w:val="000322AB"/>
    <w:rsid w:val="000327BA"/>
    <w:rsid w:val="00032BD9"/>
    <w:rsid w:val="0003313C"/>
    <w:rsid w:val="00033349"/>
    <w:rsid w:val="0003344C"/>
    <w:rsid w:val="000341CF"/>
    <w:rsid w:val="0003447E"/>
    <w:rsid w:val="0003499B"/>
    <w:rsid w:val="00034BCE"/>
    <w:rsid w:val="00034E8C"/>
    <w:rsid w:val="00035436"/>
    <w:rsid w:val="0003552B"/>
    <w:rsid w:val="00035B23"/>
    <w:rsid w:val="00035CA7"/>
    <w:rsid w:val="00035D82"/>
    <w:rsid w:val="00035DBD"/>
    <w:rsid w:val="00036A16"/>
    <w:rsid w:val="000373F3"/>
    <w:rsid w:val="0003742D"/>
    <w:rsid w:val="000374FF"/>
    <w:rsid w:val="000375C8"/>
    <w:rsid w:val="000378F6"/>
    <w:rsid w:val="000379EB"/>
    <w:rsid w:val="00037AE9"/>
    <w:rsid w:val="00037BAB"/>
    <w:rsid w:val="00037BE4"/>
    <w:rsid w:val="00040013"/>
    <w:rsid w:val="0004019A"/>
    <w:rsid w:val="000401A1"/>
    <w:rsid w:val="00040734"/>
    <w:rsid w:val="00040B83"/>
    <w:rsid w:val="00040CA3"/>
    <w:rsid w:val="000416FC"/>
    <w:rsid w:val="00041AC8"/>
    <w:rsid w:val="00041BDC"/>
    <w:rsid w:val="0004243E"/>
    <w:rsid w:val="000427D5"/>
    <w:rsid w:val="00042CCD"/>
    <w:rsid w:val="00043342"/>
    <w:rsid w:val="000435DE"/>
    <w:rsid w:val="00043A2D"/>
    <w:rsid w:val="00043ED2"/>
    <w:rsid w:val="00044148"/>
    <w:rsid w:val="00044204"/>
    <w:rsid w:val="00044475"/>
    <w:rsid w:val="00044C33"/>
    <w:rsid w:val="000452E2"/>
    <w:rsid w:val="00045745"/>
    <w:rsid w:val="0004575D"/>
    <w:rsid w:val="000457B4"/>
    <w:rsid w:val="00045D5B"/>
    <w:rsid w:val="00045DDF"/>
    <w:rsid w:val="0004601F"/>
    <w:rsid w:val="00046375"/>
    <w:rsid w:val="00046777"/>
    <w:rsid w:val="00046C42"/>
    <w:rsid w:val="00046CCE"/>
    <w:rsid w:val="0004702B"/>
    <w:rsid w:val="0004733A"/>
    <w:rsid w:val="00047608"/>
    <w:rsid w:val="00050249"/>
    <w:rsid w:val="000507C3"/>
    <w:rsid w:val="00050920"/>
    <w:rsid w:val="0005105D"/>
    <w:rsid w:val="000515F0"/>
    <w:rsid w:val="00051791"/>
    <w:rsid w:val="000518A6"/>
    <w:rsid w:val="000519EA"/>
    <w:rsid w:val="00051B61"/>
    <w:rsid w:val="00051F32"/>
    <w:rsid w:val="000523FE"/>
    <w:rsid w:val="00052436"/>
    <w:rsid w:val="000529B6"/>
    <w:rsid w:val="00052AD4"/>
    <w:rsid w:val="00052BA6"/>
    <w:rsid w:val="00053F21"/>
    <w:rsid w:val="00054462"/>
    <w:rsid w:val="0005460C"/>
    <w:rsid w:val="00056696"/>
    <w:rsid w:val="000566A1"/>
    <w:rsid w:val="00056809"/>
    <w:rsid w:val="00056DB0"/>
    <w:rsid w:val="000570FC"/>
    <w:rsid w:val="0005783A"/>
    <w:rsid w:val="00057C03"/>
    <w:rsid w:val="00057FA2"/>
    <w:rsid w:val="0006026C"/>
    <w:rsid w:val="0006036B"/>
    <w:rsid w:val="00060AC6"/>
    <w:rsid w:val="00060BB0"/>
    <w:rsid w:val="0006109A"/>
    <w:rsid w:val="0006141D"/>
    <w:rsid w:val="00061A5F"/>
    <w:rsid w:val="00061B9D"/>
    <w:rsid w:val="00061FEF"/>
    <w:rsid w:val="00062740"/>
    <w:rsid w:val="00062834"/>
    <w:rsid w:val="00062B47"/>
    <w:rsid w:val="00062F98"/>
    <w:rsid w:val="0006320B"/>
    <w:rsid w:val="00063C19"/>
    <w:rsid w:val="000646B3"/>
    <w:rsid w:val="00064C77"/>
    <w:rsid w:val="00064E8C"/>
    <w:rsid w:val="00064EB7"/>
    <w:rsid w:val="00064EF7"/>
    <w:rsid w:val="0006514E"/>
    <w:rsid w:val="000652C1"/>
    <w:rsid w:val="00065458"/>
    <w:rsid w:val="00066145"/>
    <w:rsid w:val="0006622F"/>
    <w:rsid w:val="00066787"/>
    <w:rsid w:val="00066A42"/>
    <w:rsid w:val="00066B48"/>
    <w:rsid w:val="00067279"/>
    <w:rsid w:val="000672F8"/>
    <w:rsid w:val="0006730B"/>
    <w:rsid w:val="00067942"/>
    <w:rsid w:val="00067D4E"/>
    <w:rsid w:val="00067D5B"/>
    <w:rsid w:val="000702DB"/>
    <w:rsid w:val="00070948"/>
    <w:rsid w:val="00070A7A"/>
    <w:rsid w:val="00071178"/>
    <w:rsid w:val="0007155B"/>
    <w:rsid w:val="000719B7"/>
    <w:rsid w:val="00071A86"/>
    <w:rsid w:val="00071BD9"/>
    <w:rsid w:val="00071DB1"/>
    <w:rsid w:val="0007203F"/>
    <w:rsid w:val="0007204B"/>
    <w:rsid w:val="00072F47"/>
    <w:rsid w:val="00073808"/>
    <w:rsid w:val="00074396"/>
    <w:rsid w:val="0007446E"/>
    <w:rsid w:val="00074745"/>
    <w:rsid w:val="00074951"/>
    <w:rsid w:val="00074F67"/>
    <w:rsid w:val="000752E8"/>
    <w:rsid w:val="000755B8"/>
    <w:rsid w:val="00075D05"/>
    <w:rsid w:val="00075D4B"/>
    <w:rsid w:val="0007679E"/>
    <w:rsid w:val="00077371"/>
    <w:rsid w:val="00077C0C"/>
    <w:rsid w:val="00080116"/>
    <w:rsid w:val="000808F9"/>
    <w:rsid w:val="00080A6B"/>
    <w:rsid w:val="00080EE8"/>
    <w:rsid w:val="0008125C"/>
    <w:rsid w:val="00081277"/>
    <w:rsid w:val="000813E4"/>
    <w:rsid w:val="00081417"/>
    <w:rsid w:val="0008159C"/>
    <w:rsid w:val="0008195B"/>
    <w:rsid w:val="00081CFF"/>
    <w:rsid w:val="0008258A"/>
    <w:rsid w:val="00082DF6"/>
    <w:rsid w:val="00082E64"/>
    <w:rsid w:val="0008303B"/>
    <w:rsid w:val="00083231"/>
    <w:rsid w:val="000834AE"/>
    <w:rsid w:val="00083FAC"/>
    <w:rsid w:val="0008405B"/>
    <w:rsid w:val="00084760"/>
    <w:rsid w:val="00085268"/>
    <w:rsid w:val="00085475"/>
    <w:rsid w:val="0008576B"/>
    <w:rsid w:val="000858D1"/>
    <w:rsid w:val="000859AA"/>
    <w:rsid w:val="00085A04"/>
    <w:rsid w:val="00085C5D"/>
    <w:rsid w:val="00085CCC"/>
    <w:rsid w:val="00085DA5"/>
    <w:rsid w:val="000863E2"/>
    <w:rsid w:val="000864A2"/>
    <w:rsid w:val="0008668D"/>
    <w:rsid w:val="00086F97"/>
    <w:rsid w:val="00087308"/>
    <w:rsid w:val="00087474"/>
    <w:rsid w:val="0008785C"/>
    <w:rsid w:val="00087A3E"/>
    <w:rsid w:val="00090233"/>
    <w:rsid w:val="000906FB"/>
    <w:rsid w:val="000907E5"/>
    <w:rsid w:val="00091245"/>
    <w:rsid w:val="00091EAA"/>
    <w:rsid w:val="00092238"/>
    <w:rsid w:val="0009266A"/>
    <w:rsid w:val="00092AEC"/>
    <w:rsid w:val="000933A6"/>
    <w:rsid w:val="00093CB7"/>
    <w:rsid w:val="0009414D"/>
    <w:rsid w:val="00094388"/>
    <w:rsid w:val="00094B31"/>
    <w:rsid w:val="00094FC6"/>
    <w:rsid w:val="0009514E"/>
    <w:rsid w:val="0009515F"/>
    <w:rsid w:val="000951E1"/>
    <w:rsid w:val="000954DD"/>
    <w:rsid w:val="000955AC"/>
    <w:rsid w:val="000957EA"/>
    <w:rsid w:val="00095818"/>
    <w:rsid w:val="00095974"/>
    <w:rsid w:val="00095B4D"/>
    <w:rsid w:val="00095EE7"/>
    <w:rsid w:val="000966BB"/>
    <w:rsid w:val="00096800"/>
    <w:rsid w:val="00096BBF"/>
    <w:rsid w:val="00096C4B"/>
    <w:rsid w:val="0009792A"/>
    <w:rsid w:val="00097B79"/>
    <w:rsid w:val="00097E17"/>
    <w:rsid w:val="000A0040"/>
    <w:rsid w:val="000A02AD"/>
    <w:rsid w:val="000A0B38"/>
    <w:rsid w:val="000A1199"/>
    <w:rsid w:val="000A22E9"/>
    <w:rsid w:val="000A241E"/>
    <w:rsid w:val="000A2810"/>
    <w:rsid w:val="000A289B"/>
    <w:rsid w:val="000A2C52"/>
    <w:rsid w:val="000A2E37"/>
    <w:rsid w:val="000A36D0"/>
    <w:rsid w:val="000A3B1E"/>
    <w:rsid w:val="000A41D4"/>
    <w:rsid w:val="000A421F"/>
    <w:rsid w:val="000A4BCB"/>
    <w:rsid w:val="000A4BE4"/>
    <w:rsid w:val="000A5077"/>
    <w:rsid w:val="000A50F2"/>
    <w:rsid w:val="000A534D"/>
    <w:rsid w:val="000A5ABE"/>
    <w:rsid w:val="000A5B0D"/>
    <w:rsid w:val="000A60E1"/>
    <w:rsid w:val="000A60F4"/>
    <w:rsid w:val="000A61FB"/>
    <w:rsid w:val="000A7A40"/>
    <w:rsid w:val="000A7AD6"/>
    <w:rsid w:val="000A7C5A"/>
    <w:rsid w:val="000B001D"/>
    <w:rsid w:val="000B015F"/>
    <w:rsid w:val="000B0274"/>
    <w:rsid w:val="000B038E"/>
    <w:rsid w:val="000B08CB"/>
    <w:rsid w:val="000B08D1"/>
    <w:rsid w:val="000B0A95"/>
    <w:rsid w:val="000B0ADF"/>
    <w:rsid w:val="000B0C23"/>
    <w:rsid w:val="000B18C2"/>
    <w:rsid w:val="000B1AAB"/>
    <w:rsid w:val="000B1C18"/>
    <w:rsid w:val="000B1C59"/>
    <w:rsid w:val="000B2C16"/>
    <w:rsid w:val="000B2FC7"/>
    <w:rsid w:val="000B310F"/>
    <w:rsid w:val="000B38C0"/>
    <w:rsid w:val="000B3DAA"/>
    <w:rsid w:val="000B3EEB"/>
    <w:rsid w:val="000B466E"/>
    <w:rsid w:val="000B4681"/>
    <w:rsid w:val="000B4763"/>
    <w:rsid w:val="000B4E20"/>
    <w:rsid w:val="000B4EDC"/>
    <w:rsid w:val="000B5120"/>
    <w:rsid w:val="000B515F"/>
    <w:rsid w:val="000B5605"/>
    <w:rsid w:val="000B5695"/>
    <w:rsid w:val="000B57AA"/>
    <w:rsid w:val="000B5AF8"/>
    <w:rsid w:val="000B5F2C"/>
    <w:rsid w:val="000B6184"/>
    <w:rsid w:val="000B6843"/>
    <w:rsid w:val="000B6EB2"/>
    <w:rsid w:val="000B706F"/>
    <w:rsid w:val="000B77F8"/>
    <w:rsid w:val="000B78CC"/>
    <w:rsid w:val="000B7AE2"/>
    <w:rsid w:val="000C0203"/>
    <w:rsid w:val="000C041C"/>
    <w:rsid w:val="000C091B"/>
    <w:rsid w:val="000C0F48"/>
    <w:rsid w:val="000C0F5C"/>
    <w:rsid w:val="000C1356"/>
    <w:rsid w:val="000C18D0"/>
    <w:rsid w:val="000C1FB5"/>
    <w:rsid w:val="000C20E9"/>
    <w:rsid w:val="000C2555"/>
    <w:rsid w:val="000C25C3"/>
    <w:rsid w:val="000C2DF1"/>
    <w:rsid w:val="000C3692"/>
    <w:rsid w:val="000C37AC"/>
    <w:rsid w:val="000C3B1F"/>
    <w:rsid w:val="000C43D9"/>
    <w:rsid w:val="000C44B7"/>
    <w:rsid w:val="000C458C"/>
    <w:rsid w:val="000C4A9D"/>
    <w:rsid w:val="000C4D1E"/>
    <w:rsid w:val="000C5329"/>
    <w:rsid w:val="000C5D43"/>
    <w:rsid w:val="000C5F42"/>
    <w:rsid w:val="000C60E6"/>
    <w:rsid w:val="000C6548"/>
    <w:rsid w:val="000C6591"/>
    <w:rsid w:val="000C6D2E"/>
    <w:rsid w:val="000C709F"/>
    <w:rsid w:val="000C72CA"/>
    <w:rsid w:val="000C7872"/>
    <w:rsid w:val="000C7AFF"/>
    <w:rsid w:val="000C7BA9"/>
    <w:rsid w:val="000C7C7C"/>
    <w:rsid w:val="000C7CAA"/>
    <w:rsid w:val="000D0476"/>
    <w:rsid w:val="000D04C1"/>
    <w:rsid w:val="000D0624"/>
    <w:rsid w:val="000D0DF7"/>
    <w:rsid w:val="000D0E50"/>
    <w:rsid w:val="000D1171"/>
    <w:rsid w:val="000D13A6"/>
    <w:rsid w:val="000D2113"/>
    <w:rsid w:val="000D2266"/>
    <w:rsid w:val="000D2736"/>
    <w:rsid w:val="000D2C27"/>
    <w:rsid w:val="000D30E7"/>
    <w:rsid w:val="000D35F7"/>
    <w:rsid w:val="000D3646"/>
    <w:rsid w:val="000D3760"/>
    <w:rsid w:val="000D3BCC"/>
    <w:rsid w:val="000D43AC"/>
    <w:rsid w:val="000D44DB"/>
    <w:rsid w:val="000D4645"/>
    <w:rsid w:val="000D467B"/>
    <w:rsid w:val="000D58C9"/>
    <w:rsid w:val="000D5DA8"/>
    <w:rsid w:val="000D5F42"/>
    <w:rsid w:val="000D62F3"/>
    <w:rsid w:val="000D6630"/>
    <w:rsid w:val="000D682D"/>
    <w:rsid w:val="000D7E24"/>
    <w:rsid w:val="000D7EAD"/>
    <w:rsid w:val="000E06CA"/>
    <w:rsid w:val="000E07FC"/>
    <w:rsid w:val="000E0B79"/>
    <w:rsid w:val="000E0C92"/>
    <w:rsid w:val="000E0D69"/>
    <w:rsid w:val="000E0ECF"/>
    <w:rsid w:val="000E0F57"/>
    <w:rsid w:val="000E12A8"/>
    <w:rsid w:val="000E184E"/>
    <w:rsid w:val="000E1A44"/>
    <w:rsid w:val="000E1DE0"/>
    <w:rsid w:val="000E21D3"/>
    <w:rsid w:val="000E247B"/>
    <w:rsid w:val="000E247C"/>
    <w:rsid w:val="000E27E9"/>
    <w:rsid w:val="000E2A6C"/>
    <w:rsid w:val="000E2DC9"/>
    <w:rsid w:val="000E2E4B"/>
    <w:rsid w:val="000E2FF1"/>
    <w:rsid w:val="000E3DFD"/>
    <w:rsid w:val="000E4477"/>
    <w:rsid w:val="000E45E9"/>
    <w:rsid w:val="000E4A24"/>
    <w:rsid w:val="000E5217"/>
    <w:rsid w:val="000E5C17"/>
    <w:rsid w:val="000E6471"/>
    <w:rsid w:val="000E69A5"/>
    <w:rsid w:val="000E721B"/>
    <w:rsid w:val="000E74D2"/>
    <w:rsid w:val="000E789D"/>
    <w:rsid w:val="000F0055"/>
    <w:rsid w:val="000F0481"/>
    <w:rsid w:val="000F04BF"/>
    <w:rsid w:val="000F0699"/>
    <w:rsid w:val="000F078E"/>
    <w:rsid w:val="000F0BA2"/>
    <w:rsid w:val="000F0F98"/>
    <w:rsid w:val="000F1485"/>
    <w:rsid w:val="000F19E1"/>
    <w:rsid w:val="000F1B61"/>
    <w:rsid w:val="000F2032"/>
    <w:rsid w:val="000F22ED"/>
    <w:rsid w:val="000F2362"/>
    <w:rsid w:val="000F35A9"/>
    <w:rsid w:val="000F377A"/>
    <w:rsid w:val="000F3964"/>
    <w:rsid w:val="000F3BFE"/>
    <w:rsid w:val="000F3C1E"/>
    <w:rsid w:val="000F3DE4"/>
    <w:rsid w:val="000F3EC1"/>
    <w:rsid w:val="000F40FF"/>
    <w:rsid w:val="000F4C32"/>
    <w:rsid w:val="000F4C9B"/>
    <w:rsid w:val="000F52A7"/>
    <w:rsid w:val="000F58A1"/>
    <w:rsid w:val="000F5AA4"/>
    <w:rsid w:val="000F5AC6"/>
    <w:rsid w:val="000F5C5A"/>
    <w:rsid w:val="000F5D25"/>
    <w:rsid w:val="000F613C"/>
    <w:rsid w:val="000F6985"/>
    <w:rsid w:val="000F715A"/>
    <w:rsid w:val="000F72CB"/>
    <w:rsid w:val="000F7AE5"/>
    <w:rsid w:val="000F7B5F"/>
    <w:rsid w:val="001007E8"/>
    <w:rsid w:val="0010093F"/>
    <w:rsid w:val="00100AA8"/>
    <w:rsid w:val="00100B3E"/>
    <w:rsid w:val="0010109D"/>
    <w:rsid w:val="00101327"/>
    <w:rsid w:val="001017B0"/>
    <w:rsid w:val="0010229B"/>
    <w:rsid w:val="00102869"/>
    <w:rsid w:val="00102BB5"/>
    <w:rsid w:val="001036A5"/>
    <w:rsid w:val="001044CC"/>
    <w:rsid w:val="00104591"/>
    <w:rsid w:val="00104765"/>
    <w:rsid w:val="00104B62"/>
    <w:rsid w:val="00104CAF"/>
    <w:rsid w:val="00104F3E"/>
    <w:rsid w:val="00105230"/>
    <w:rsid w:val="001054D4"/>
    <w:rsid w:val="00105520"/>
    <w:rsid w:val="0010589B"/>
    <w:rsid w:val="00105BB1"/>
    <w:rsid w:val="00105C0B"/>
    <w:rsid w:val="00105CAF"/>
    <w:rsid w:val="0010629A"/>
    <w:rsid w:val="00106609"/>
    <w:rsid w:val="00106691"/>
    <w:rsid w:val="00107637"/>
    <w:rsid w:val="001079F5"/>
    <w:rsid w:val="00107BCE"/>
    <w:rsid w:val="00107E98"/>
    <w:rsid w:val="00110139"/>
    <w:rsid w:val="00110B0E"/>
    <w:rsid w:val="00110D86"/>
    <w:rsid w:val="00110E83"/>
    <w:rsid w:val="00110F6A"/>
    <w:rsid w:val="00111092"/>
    <w:rsid w:val="00111226"/>
    <w:rsid w:val="00111231"/>
    <w:rsid w:val="00111769"/>
    <w:rsid w:val="00111903"/>
    <w:rsid w:val="001119E0"/>
    <w:rsid w:val="001122A8"/>
    <w:rsid w:val="00112340"/>
    <w:rsid w:val="00112FE4"/>
    <w:rsid w:val="0011301C"/>
    <w:rsid w:val="0011309C"/>
    <w:rsid w:val="00113644"/>
    <w:rsid w:val="00113D17"/>
    <w:rsid w:val="00113E55"/>
    <w:rsid w:val="00113F26"/>
    <w:rsid w:val="0011452F"/>
    <w:rsid w:val="001146D7"/>
    <w:rsid w:val="00114791"/>
    <w:rsid w:val="001149FA"/>
    <w:rsid w:val="00114A1E"/>
    <w:rsid w:val="00114AB9"/>
    <w:rsid w:val="00114DA9"/>
    <w:rsid w:val="00114EBA"/>
    <w:rsid w:val="00114F6B"/>
    <w:rsid w:val="0011546D"/>
    <w:rsid w:val="001155CF"/>
    <w:rsid w:val="00115872"/>
    <w:rsid w:val="00116043"/>
    <w:rsid w:val="001160C4"/>
    <w:rsid w:val="00116463"/>
    <w:rsid w:val="00116637"/>
    <w:rsid w:val="001168CC"/>
    <w:rsid w:val="001169DD"/>
    <w:rsid w:val="0011771E"/>
    <w:rsid w:val="001200DD"/>
    <w:rsid w:val="0012045D"/>
    <w:rsid w:val="001209AC"/>
    <w:rsid w:val="00120B32"/>
    <w:rsid w:val="0012143F"/>
    <w:rsid w:val="00122124"/>
    <w:rsid w:val="001221E3"/>
    <w:rsid w:val="0012226D"/>
    <w:rsid w:val="0012281C"/>
    <w:rsid w:val="00122966"/>
    <w:rsid w:val="00122EC3"/>
    <w:rsid w:val="00123512"/>
    <w:rsid w:val="00123811"/>
    <w:rsid w:val="00123C6D"/>
    <w:rsid w:val="00123FBB"/>
    <w:rsid w:val="001241B1"/>
    <w:rsid w:val="00124603"/>
    <w:rsid w:val="0012477A"/>
    <w:rsid w:val="00124CBF"/>
    <w:rsid w:val="00124FE3"/>
    <w:rsid w:val="0012683D"/>
    <w:rsid w:val="00126CCD"/>
    <w:rsid w:val="00126E8C"/>
    <w:rsid w:val="00127081"/>
    <w:rsid w:val="001271F3"/>
    <w:rsid w:val="0012736E"/>
    <w:rsid w:val="00127A3E"/>
    <w:rsid w:val="00130301"/>
    <w:rsid w:val="001304D0"/>
    <w:rsid w:val="00130543"/>
    <w:rsid w:val="00130B6B"/>
    <w:rsid w:val="00130D1C"/>
    <w:rsid w:val="001314D3"/>
    <w:rsid w:val="001314E0"/>
    <w:rsid w:val="0013190B"/>
    <w:rsid w:val="00131942"/>
    <w:rsid w:val="00131B41"/>
    <w:rsid w:val="00131B76"/>
    <w:rsid w:val="00131CFA"/>
    <w:rsid w:val="00131D4C"/>
    <w:rsid w:val="001325E6"/>
    <w:rsid w:val="0013261A"/>
    <w:rsid w:val="00132D15"/>
    <w:rsid w:val="001338F8"/>
    <w:rsid w:val="00134027"/>
    <w:rsid w:val="0013460E"/>
    <w:rsid w:val="00134DB3"/>
    <w:rsid w:val="00134DB5"/>
    <w:rsid w:val="00135434"/>
    <w:rsid w:val="00135B8B"/>
    <w:rsid w:val="00135D8F"/>
    <w:rsid w:val="00136298"/>
    <w:rsid w:val="00136887"/>
    <w:rsid w:val="00136EE3"/>
    <w:rsid w:val="00136FC4"/>
    <w:rsid w:val="001370F3"/>
    <w:rsid w:val="001373C5"/>
    <w:rsid w:val="001375C8"/>
    <w:rsid w:val="00137605"/>
    <w:rsid w:val="00137C23"/>
    <w:rsid w:val="00137EA2"/>
    <w:rsid w:val="00140395"/>
    <w:rsid w:val="00140724"/>
    <w:rsid w:val="0014076F"/>
    <w:rsid w:val="00140EF1"/>
    <w:rsid w:val="0014109C"/>
    <w:rsid w:val="001410D6"/>
    <w:rsid w:val="00141635"/>
    <w:rsid w:val="00141796"/>
    <w:rsid w:val="001429B9"/>
    <w:rsid w:val="00142EAA"/>
    <w:rsid w:val="00144258"/>
    <w:rsid w:val="00144425"/>
    <w:rsid w:val="0014519F"/>
    <w:rsid w:val="00145426"/>
    <w:rsid w:val="001455B3"/>
    <w:rsid w:val="00145984"/>
    <w:rsid w:val="001459AF"/>
    <w:rsid w:val="00145A91"/>
    <w:rsid w:val="00145B63"/>
    <w:rsid w:val="00145CFD"/>
    <w:rsid w:val="00145DFA"/>
    <w:rsid w:val="00146059"/>
    <w:rsid w:val="001460E1"/>
    <w:rsid w:val="00146C32"/>
    <w:rsid w:val="00147177"/>
    <w:rsid w:val="001473E8"/>
    <w:rsid w:val="001474FC"/>
    <w:rsid w:val="00147874"/>
    <w:rsid w:val="00147DEE"/>
    <w:rsid w:val="00147E5F"/>
    <w:rsid w:val="00150038"/>
    <w:rsid w:val="00150095"/>
    <w:rsid w:val="00150374"/>
    <w:rsid w:val="00150648"/>
    <w:rsid w:val="001507BD"/>
    <w:rsid w:val="001508D4"/>
    <w:rsid w:val="001509A6"/>
    <w:rsid w:val="00150AB6"/>
    <w:rsid w:val="0015194F"/>
    <w:rsid w:val="0015213C"/>
    <w:rsid w:val="001521A6"/>
    <w:rsid w:val="00153126"/>
    <w:rsid w:val="00153942"/>
    <w:rsid w:val="00153ECC"/>
    <w:rsid w:val="00154281"/>
    <w:rsid w:val="0015493E"/>
    <w:rsid w:val="0015496C"/>
    <w:rsid w:val="00154F9D"/>
    <w:rsid w:val="00155081"/>
    <w:rsid w:val="001552E6"/>
    <w:rsid w:val="0015546F"/>
    <w:rsid w:val="00155BD9"/>
    <w:rsid w:val="00155D5A"/>
    <w:rsid w:val="00156078"/>
    <w:rsid w:val="00156870"/>
    <w:rsid w:val="00156AAF"/>
    <w:rsid w:val="00156CE9"/>
    <w:rsid w:val="00157445"/>
    <w:rsid w:val="001575AB"/>
    <w:rsid w:val="00157760"/>
    <w:rsid w:val="00157B8C"/>
    <w:rsid w:val="00157C96"/>
    <w:rsid w:val="00160A03"/>
    <w:rsid w:val="00160C3F"/>
    <w:rsid w:val="00160C4D"/>
    <w:rsid w:val="00160CE3"/>
    <w:rsid w:val="00161702"/>
    <w:rsid w:val="00161AC5"/>
    <w:rsid w:val="00162022"/>
    <w:rsid w:val="0016202E"/>
    <w:rsid w:val="001620E8"/>
    <w:rsid w:val="00162453"/>
    <w:rsid w:val="00162626"/>
    <w:rsid w:val="00162C56"/>
    <w:rsid w:val="0016413C"/>
    <w:rsid w:val="001642D5"/>
    <w:rsid w:val="00164CA0"/>
    <w:rsid w:val="00164FB6"/>
    <w:rsid w:val="001650FE"/>
    <w:rsid w:val="001655B0"/>
    <w:rsid w:val="001655B4"/>
    <w:rsid w:val="001655F0"/>
    <w:rsid w:val="00165695"/>
    <w:rsid w:val="0016571D"/>
    <w:rsid w:val="00165736"/>
    <w:rsid w:val="001659BD"/>
    <w:rsid w:val="001659E9"/>
    <w:rsid w:val="0016613D"/>
    <w:rsid w:val="00166961"/>
    <w:rsid w:val="00166A99"/>
    <w:rsid w:val="00166B54"/>
    <w:rsid w:val="00166B7F"/>
    <w:rsid w:val="00166E75"/>
    <w:rsid w:val="00166FC3"/>
    <w:rsid w:val="00167172"/>
    <w:rsid w:val="00167697"/>
    <w:rsid w:val="0016788F"/>
    <w:rsid w:val="001678DC"/>
    <w:rsid w:val="00167A77"/>
    <w:rsid w:val="00167B77"/>
    <w:rsid w:val="00167C18"/>
    <w:rsid w:val="001705BD"/>
    <w:rsid w:val="00170609"/>
    <w:rsid w:val="00170759"/>
    <w:rsid w:val="001709F6"/>
    <w:rsid w:val="00170A84"/>
    <w:rsid w:val="00170FE8"/>
    <w:rsid w:val="0017100D"/>
    <w:rsid w:val="001714C4"/>
    <w:rsid w:val="00171709"/>
    <w:rsid w:val="00171736"/>
    <w:rsid w:val="001719DC"/>
    <w:rsid w:val="00171B78"/>
    <w:rsid w:val="00171F52"/>
    <w:rsid w:val="0017278A"/>
    <w:rsid w:val="001731F8"/>
    <w:rsid w:val="00173504"/>
    <w:rsid w:val="001736EE"/>
    <w:rsid w:val="001738EB"/>
    <w:rsid w:val="00173AE7"/>
    <w:rsid w:val="00173BE6"/>
    <w:rsid w:val="00173F9E"/>
    <w:rsid w:val="00174031"/>
    <w:rsid w:val="00174144"/>
    <w:rsid w:val="001745D3"/>
    <w:rsid w:val="00174929"/>
    <w:rsid w:val="0017531D"/>
    <w:rsid w:val="00175832"/>
    <w:rsid w:val="00175908"/>
    <w:rsid w:val="00175B07"/>
    <w:rsid w:val="001760AF"/>
    <w:rsid w:val="0017623C"/>
    <w:rsid w:val="00176569"/>
    <w:rsid w:val="001765B1"/>
    <w:rsid w:val="001766A3"/>
    <w:rsid w:val="00176A18"/>
    <w:rsid w:val="00176C78"/>
    <w:rsid w:val="00176D60"/>
    <w:rsid w:val="00176FAB"/>
    <w:rsid w:val="00177544"/>
    <w:rsid w:val="0017769E"/>
    <w:rsid w:val="0017782F"/>
    <w:rsid w:val="00177EF9"/>
    <w:rsid w:val="0018042E"/>
    <w:rsid w:val="001804CD"/>
    <w:rsid w:val="00180B42"/>
    <w:rsid w:val="00180D2E"/>
    <w:rsid w:val="00180F31"/>
    <w:rsid w:val="00181004"/>
    <w:rsid w:val="001812E2"/>
    <w:rsid w:val="001817C8"/>
    <w:rsid w:val="00181854"/>
    <w:rsid w:val="001819C5"/>
    <w:rsid w:val="00181FA9"/>
    <w:rsid w:val="00182666"/>
    <w:rsid w:val="00182900"/>
    <w:rsid w:val="00183709"/>
    <w:rsid w:val="00183750"/>
    <w:rsid w:val="001844DA"/>
    <w:rsid w:val="00184F1D"/>
    <w:rsid w:val="00185114"/>
    <w:rsid w:val="0018553B"/>
    <w:rsid w:val="00185C20"/>
    <w:rsid w:val="00185D40"/>
    <w:rsid w:val="0018631D"/>
    <w:rsid w:val="00186487"/>
    <w:rsid w:val="0018699B"/>
    <w:rsid w:val="00186F8A"/>
    <w:rsid w:val="001873D4"/>
    <w:rsid w:val="001877D8"/>
    <w:rsid w:val="0018793A"/>
    <w:rsid w:val="00187A70"/>
    <w:rsid w:val="00187BB1"/>
    <w:rsid w:val="00187C58"/>
    <w:rsid w:val="00187CDB"/>
    <w:rsid w:val="00190171"/>
    <w:rsid w:val="001905A1"/>
    <w:rsid w:val="00190606"/>
    <w:rsid w:val="00190876"/>
    <w:rsid w:val="00190C73"/>
    <w:rsid w:val="00190CC6"/>
    <w:rsid w:val="00190DD4"/>
    <w:rsid w:val="00191B7B"/>
    <w:rsid w:val="00191C5D"/>
    <w:rsid w:val="00192083"/>
    <w:rsid w:val="00192383"/>
    <w:rsid w:val="00192F26"/>
    <w:rsid w:val="00193B7B"/>
    <w:rsid w:val="00193CF3"/>
    <w:rsid w:val="00193F5C"/>
    <w:rsid w:val="00194127"/>
    <w:rsid w:val="00194410"/>
    <w:rsid w:val="00194557"/>
    <w:rsid w:val="001948CB"/>
    <w:rsid w:val="00194D95"/>
    <w:rsid w:val="00194D9C"/>
    <w:rsid w:val="00194F99"/>
    <w:rsid w:val="00195377"/>
    <w:rsid w:val="00195A3C"/>
    <w:rsid w:val="00195D18"/>
    <w:rsid w:val="00195E3A"/>
    <w:rsid w:val="0019676F"/>
    <w:rsid w:val="0019683F"/>
    <w:rsid w:val="00196A61"/>
    <w:rsid w:val="00196A8B"/>
    <w:rsid w:val="0019715F"/>
    <w:rsid w:val="001972B1"/>
    <w:rsid w:val="001974D4"/>
    <w:rsid w:val="001975FB"/>
    <w:rsid w:val="001977EC"/>
    <w:rsid w:val="001978AE"/>
    <w:rsid w:val="00197BE4"/>
    <w:rsid w:val="001A0763"/>
    <w:rsid w:val="001A1339"/>
    <w:rsid w:val="001A1527"/>
    <w:rsid w:val="001A1555"/>
    <w:rsid w:val="001A1661"/>
    <w:rsid w:val="001A175F"/>
    <w:rsid w:val="001A19B4"/>
    <w:rsid w:val="001A1B68"/>
    <w:rsid w:val="001A1BB2"/>
    <w:rsid w:val="001A27B9"/>
    <w:rsid w:val="001A2A37"/>
    <w:rsid w:val="001A2B11"/>
    <w:rsid w:val="001A2F36"/>
    <w:rsid w:val="001A2FFF"/>
    <w:rsid w:val="001A31FA"/>
    <w:rsid w:val="001A3496"/>
    <w:rsid w:val="001A381D"/>
    <w:rsid w:val="001A3DFA"/>
    <w:rsid w:val="001A3EF1"/>
    <w:rsid w:val="001A4093"/>
    <w:rsid w:val="001A42CE"/>
    <w:rsid w:val="001A43F6"/>
    <w:rsid w:val="001A453A"/>
    <w:rsid w:val="001A46DA"/>
    <w:rsid w:val="001A4757"/>
    <w:rsid w:val="001A4D97"/>
    <w:rsid w:val="001A4FB3"/>
    <w:rsid w:val="001A501A"/>
    <w:rsid w:val="001A52CF"/>
    <w:rsid w:val="001A5914"/>
    <w:rsid w:val="001A5BFF"/>
    <w:rsid w:val="001A5E41"/>
    <w:rsid w:val="001A6195"/>
    <w:rsid w:val="001A62CD"/>
    <w:rsid w:val="001A639A"/>
    <w:rsid w:val="001A6519"/>
    <w:rsid w:val="001A6715"/>
    <w:rsid w:val="001A6A70"/>
    <w:rsid w:val="001A6F06"/>
    <w:rsid w:val="001A719C"/>
    <w:rsid w:val="001A7C03"/>
    <w:rsid w:val="001A7CE0"/>
    <w:rsid w:val="001A7D50"/>
    <w:rsid w:val="001A7E97"/>
    <w:rsid w:val="001B0F05"/>
    <w:rsid w:val="001B10C5"/>
    <w:rsid w:val="001B12D9"/>
    <w:rsid w:val="001B12FB"/>
    <w:rsid w:val="001B16C8"/>
    <w:rsid w:val="001B1A60"/>
    <w:rsid w:val="001B1CF8"/>
    <w:rsid w:val="001B20B3"/>
    <w:rsid w:val="001B20EC"/>
    <w:rsid w:val="001B3187"/>
    <w:rsid w:val="001B322B"/>
    <w:rsid w:val="001B3587"/>
    <w:rsid w:val="001B364C"/>
    <w:rsid w:val="001B38ED"/>
    <w:rsid w:val="001B3B03"/>
    <w:rsid w:val="001B3C11"/>
    <w:rsid w:val="001B3C27"/>
    <w:rsid w:val="001B3C2A"/>
    <w:rsid w:val="001B4020"/>
    <w:rsid w:val="001B406D"/>
    <w:rsid w:val="001B40C8"/>
    <w:rsid w:val="001B42D3"/>
    <w:rsid w:val="001B5580"/>
    <w:rsid w:val="001B5808"/>
    <w:rsid w:val="001B5AEE"/>
    <w:rsid w:val="001B5E4E"/>
    <w:rsid w:val="001B5EBE"/>
    <w:rsid w:val="001B608F"/>
    <w:rsid w:val="001B6210"/>
    <w:rsid w:val="001B630E"/>
    <w:rsid w:val="001B6498"/>
    <w:rsid w:val="001B6EB6"/>
    <w:rsid w:val="001B700A"/>
    <w:rsid w:val="001B7294"/>
    <w:rsid w:val="001B7AC1"/>
    <w:rsid w:val="001B7C4F"/>
    <w:rsid w:val="001B7CFF"/>
    <w:rsid w:val="001C0985"/>
    <w:rsid w:val="001C0BB4"/>
    <w:rsid w:val="001C0CFC"/>
    <w:rsid w:val="001C0F6D"/>
    <w:rsid w:val="001C12DF"/>
    <w:rsid w:val="001C162D"/>
    <w:rsid w:val="001C19C1"/>
    <w:rsid w:val="001C21C3"/>
    <w:rsid w:val="001C2379"/>
    <w:rsid w:val="001C24D1"/>
    <w:rsid w:val="001C26D4"/>
    <w:rsid w:val="001C29D1"/>
    <w:rsid w:val="001C304B"/>
    <w:rsid w:val="001C3113"/>
    <w:rsid w:val="001C3616"/>
    <w:rsid w:val="001C372A"/>
    <w:rsid w:val="001C38E9"/>
    <w:rsid w:val="001C3A55"/>
    <w:rsid w:val="001C3A64"/>
    <w:rsid w:val="001C3A6B"/>
    <w:rsid w:val="001C42F0"/>
    <w:rsid w:val="001C44CF"/>
    <w:rsid w:val="001C4891"/>
    <w:rsid w:val="001C491E"/>
    <w:rsid w:val="001C51D6"/>
    <w:rsid w:val="001C52EB"/>
    <w:rsid w:val="001C53CD"/>
    <w:rsid w:val="001C5587"/>
    <w:rsid w:val="001C5C58"/>
    <w:rsid w:val="001C5F2F"/>
    <w:rsid w:val="001C6350"/>
    <w:rsid w:val="001C6762"/>
    <w:rsid w:val="001C6A94"/>
    <w:rsid w:val="001C6F75"/>
    <w:rsid w:val="001C7BB7"/>
    <w:rsid w:val="001C7F0D"/>
    <w:rsid w:val="001D00BE"/>
    <w:rsid w:val="001D059B"/>
    <w:rsid w:val="001D0BAA"/>
    <w:rsid w:val="001D194C"/>
    <w:rsid w:val="001D19F8"/>
    <w:rsid w:val="001D1AC6"/>
    <w:rsid w:val="001D1BE1"/>
    <w:rsid w:val="001D1C22"/>
    <w:rsid w:val="001D1CB8"/>
    <w:rsid w:val="001D1EE8"/>
    <w:rsid w:val="001D25F7"/>
    <w:rsid w:val="001D2869"/>
    <w:rsid w:val="001D3504"/>
    <w:rsid w:val="001D3E33"/>
    <w:rsid w:val="001D44A9"/>
    <w:rsid w:val="001D477C"/>
    <w:rsid w:val="001D48C2"/>
    <w:rsid w:val="001D4F72"/>
    <w:rsid w:val="001D5156"/>
    <w:rsid w:val="001D51EE"/>
    <w:rsid w:val="001D553A"/>
    <w:rsid w:val="001D56D8"/>
    <w:rsid w:val="001D5D63"/>
    <w:rsid w:val="001D5E32"/>
    <w:rsid w:val="001D662A"/>
    <w:rsid w:val="001D6674"/>
    <w:rsid w:val="001D68A9"/>
    <w:rsid w:val="001D69F6"/>
    <w:rsid w:val="001D6ED1"/>
    <w:rsid w:val="001D6F35"/>
    <w:rsid w:val="001D73E9"/>
    <w:rsid w:val="001D7529"/>
    <w:rsid w:val="001D7622"/>
    <w:rsid w:val="001D7849"/>
    <w:rsid w:val="001E0988"/>
    <w:rsid w:val="001E0B4B"/>
    <w:rsid w:val="001E1104"/>
    <w:rsid w:val="001E17EE"/>
    <w:rsid w:val="001E2057"/>
    <w:rsid w:val="001E3126"/>
    <w:rsid w:val="001E342F"/>
    <w:rsid w:val="001E3641"/>
    <w:rsid w:val="001E3BB7"/>
    <w:rsid w:val="001E4075"/>
    <w:rsid w:val="001E4458"/>
    <w:rsid w:val="001E4927"/>
    <w:rsid w:val="001E4A4E"/>
    <w:rsid w:val="001E4EC8"/>
    <w:rsid w:val="001E5296"/>
    <w:rsid w:val="001E52D0"/>
    <w:rsid w:val="001E5898"/>
    <w:rsid w:val="001E679C"/>
    <w:rsid w:val="001E6E9B"/>
    <w:rsid w:val="001E74A2"/>
    <w:rsid w:val="001E7571"/>
    <w:rsid w:val="001E79EC"/>
    <w:rsid w:val="001E7C9C"/>
    <w:rsid w:val="001E7D80"/>
    <w:rsid w:val="001F0064"/>
    <w:rsid w:val="001F019D"/>
    <w:rsid w:val="001F02C9"/>
    <w:rsid w:val="001F04C1"/>
    <w:rsid w:val="001F066B"/>
    <w:rsid w:val="001F06CB"/>
    <w:rsid w:val="001F0917"/>
    <w:rsid w:val="001F0E07"/>
    <w:rsid w:val="001F10BF"/>
    <w:rsid w:val="001F1264"/>
    <w:rsid w:val="001F265E"/>
    <w:rsid w:val="001F27EF"/>
    <w:rsid w:val="001F2A08"/>
    <w:rsid w:val="001F2AF4"/>
    <w:rsid w:val="001F2BDD"/>
    <w:rsid w:val="001F2EC3"/>
    <w:rsid w:val="001F3A14"/>
    <w:rsid w:val="001F3F6B"/>
    <w:rsid w:val="001F4031"/>
    <w:rsid w:val="001F4041"/>
    <w:rsid w:val="001F4283"/>
    <w:rsid w:val="001F4BC4"/>
    <w:rsid w:val="001F4FE5"/>
    <w:rsid w:val="001F51FB"/>
    <w:rsid w:val="001F526D"/>
    <w:rsid w:val="001F6640"/>
    <w:rsid w:val="001F668A"/>
    <w:rsid w:val="001F692A"/>
    <w:rsid w:val="001F6A76"/>
    <w:rsid w:val="001F6B79"/>
    <w:rsid w:val="001F70B0"/>
    <w:rsid w:val="001F7219"/>
    <w:rsid w:val="001F7299"/>
    <w:rsid w:val="001F739B"/>
    <w:rsid w:val="001F74EC"/>
    <w:rsid w:val="001F7675"/>
    <w:rsid w:val="001F78C4"/>
    <w:rsid w:val="001F7A57"/>
    <w:rsid w:val="001F7BE1"/>
    <w:rsid w:val="001F7FE3"/>
    <w:rsid w:val="0020001D"/>
    <w:rsid w:val="00200066"/>
    <w:rsid w:val="0020021E"/>
    <w:rsid w:val="00200846"/>
    <w:rsid w:val="002008F6"/>
    <w:rsid w:val="00200ACA"/>
    <w:rsid w:val="00200FAF"/>
    <w:rsid w:val="0020101A"/>
    <w:rsid w:val="002012D2"/>
    <w:rsid w:val="002014B8"/>
    <w:rsid w:val="002014D6"/>
    <w:rsid w:val="00201CE7"/>
    <w:rsid w:val="0020209C"/>
    <w:rsid w:val="00202205"/>
    <w:rsid w:val="002025B5"/>
    <w:rsid w:val="00202618"/>
    <w:rsid w:val="0020266D"/>
    <w:rsid w:val="00202F0E"/>
    <w:rsid w:val="002032D7"/>
    <w:rsid w:val="002035D3"/>
    <w:rsid w:val="00203771"/>
    <w:rsid w:val="00203EAB"/>
    <w:rsid w:val="00203EED"/>
    <w:rsid w:val="0020407D"/>
    <w:rsid w:val="002048E5"/>
    <w:rsid w:val="00205930"/>
    <w:rsid w:val="00206439"/>
    <w:rsid w:val="00206457"/>
    <w:rsid w:val="00206A85"/>
    <w:rsid w:val="00206B8C"/>
    <w:rsid w:val="00206B91"/>
    <w:rsid w:val="00206F96"/>
    <w:rsid w:val="00207716"/>
    <w:rsid w:val="00210012"/>
    <w:rsid w:val="002103DD"/>
    <w:rsid w:val="00210665"/>
    <w:rsid w:val="00210E29"/>
    <w:rsid w:val="002116E1"/>
    <w:rsid w:val="00211AEA"/>
    <w:rsid w:val="00211DBE"/>
    <w:rsid w:val="00211E03"/>
    <w:rsid w:val="00211E9E"/>
    <w:rsid w:val="002122ED"/>
    <w:rsid w:val="002129BF"/>
    <w:rsid w:val="00212C2D"/>
    <w:rsid w:val="002136A6"/>
    <w:rsid w:val="00213AAA"/>
    <w:rsid w:val="0021490D"/>
    <w:rsid w:val="00214A82"/>
    <w:rsid w:val="00214C79"/>
    <w:rsid w:val="00214D19"/>
    <w:rsid w:val="00214DE3"/>
    <w:rsid w:val="00215003"/>
    <w:rsid w:val="002152D9"/>
    <w:rsid w:val="00215812"/>
    <w:rsid w:val="00215CD2"/>
    <w:rsid w:val="00215D95"/>
    <w:rsid w:val="002164C7"/>
    <w:rsid w:val="0021683B"/>
    <w:rsid w:val="00216A24"/>
    <w:rsid w:val="00216A67"/>
    <w:rsid w:val="00216AC5"/>
    <w:rsid w:val="002170B5"/>
    <w:rsid w:val="00217308"/>
    <w:rsid w:val="002173B6"/>
    <w:rsid w:val="00217568"/>
    <w:rsid w:val="00217608"/>
    <w:rsid w:val="002176E7"/>
    <w:rsid w:val="00217885"/>
    <w:rsid w:val="002178E0"/>
    <w:rsid w:val="00217AF0"/>
    <w:rsid w:val="00217B22"/>
    <w:rsid w:val="00217C37"/>
    <w:rsid w:val="00217D57"/>
    <w:rsid w:val="00217E5F"/>
    <w:rsid w:val="00220199"/>
    <w:rsid w:val="002201BB"/>
    <w:rsid w:val="00221008"/>
    <w:rsid w:val="00221168"/>
    <w:rsid w:val="00221460"/>
    <w:rsid w:val="00221936"/>
    <w:rsid w:val="002222EC"/>
    <w:rsid w:val="00222562"/>
    <w:rsid w:val="00222611"/>
    <w:rsid w:val="0022269C"/>
    <w:rsid w:val="00223048"/>
    <w:rsid w:val="002230B3"/>
    <w:rsid w:val="00223499"/>
    <w:rsid w:val="00223525"/>
    <w:rsid w:val="00223BD2"/>
    <w:rsid w:val="002243B2"/>
    <w:rsid w:val="00224558"/>
    <w:rsid w:val="002250B5"/>
    <w:rsid w:val="00225968"/>
    <w:rsid w:val="00226AC8"/>
    <w:rsid w:val="00226B8B"/>
    <w:rsid w:val="00227007"/>
    <w:rsid w:val="00227831"/>
    <w:rsid w:val="00227D77"/>
    <w:rsid w:val="00227D9A"/>
    <w:rsid w:val="00227EE4"/>
    <w:rsid w:val="0023026E"/>
    <w:rsid w:val="0023059B"/>
    <w:rsid w:val="002306DA"/>
    <w:rsid w:val="002308E6"/>
    <w:rsid w:val="00230AC9"/>
    <w:rsid w:val="00230ADF"/>
    <w:rsid w:val="00230D85"/>
    <w:rsid w:val="00230ED9"/>
    <w:rsid w:val="002313E1"/>
    <w:rsid w:val="0023181D"/>
    <w:rsid w:val="0023182B"/>
    <w:rsid w:val="00231D41"/>
    <w:rsid w:val="00232009"/>
    <w:rsid w:val="00232690"/>
    <w:rsid w:val="00232775"/>
    <w:rsid w:val="002328B4"/>
    <w:rsid w:val="00232960"/>
    <w:rsid w:val="00232CE9"/>
    <w:rsid w:val="00233281"/>
    <w:rsid w:val="00233467"/>
    <w:rsid w:val="002337E3"/>
    <w:rsid w:val="00233F46"/>
    <w:rsid w:val="002344C2"/>
    <w:rsid w:val="00234984"/>
    <w:rsid w:val="00234F01"/>
    <w:rsid w:val="002351A0"/>
    <w:rsid w:val="00235925"/>
    <w:rsid w:val="00235CCC"/>
    <w:rsid w:val="00236081"/>
    <w:rsid w:val="00236831"/>
    <w:rsid w:val="00236B8C"/>
    <w:rsid w:val="00236D6E"/>
    <w:rsid w:val="00236DF8"/>
    <w:rsid w:val="00236F7D"/>
    <w:rsid w:val="00237301"/>
    <w:rsid w:val="00237491"/>
    <w:rsid w:val="002375C3"/>
    <w:rsid w:val="00237742"/>
    <w:rsid w:val="002377CA"/>
    <w:rsid w:val="00237E30"/>
    <w:rsid w:val="002401AA"/>
    <w:rsid w:val="002403AB"/>
    <w:rsid w:val="00240540"/>
    <w:rsid w:val="002406C1"/>
    <w:rsid w:val="00240970"/>
    <w:rsid w:val="002413F9"/>
    <w:rsid w:val="002418C5"/>
    <w:rsid w:val="00241952"/>
    <w:rsid w:val="00241CE5"/>
    <w:rsid w:val="00242508"/>
    <w:rsid w:val="002428CD"/>
    <w:rsid w:val="00242E99"/>
    <w:rsid w:val="0024358F"/>
    <w:rsid w:val="002436C3"/>
    <w:rsid w:val="0024378C"/>
    <w:rsid w:val="00243B48"/>
    <w:rsid w:val="002442D2"/>
    <w:rsid w:val="002446F5"/>
    <w:rsid w:val="002452CD"/>
    <w:rsid w:val="00245778"/>
    <w:rsid w:val="002459A7"/>
    <w:rsid w:val="00245CD4"/>
    <w:rsid w:val="002461A0"/>
    <w:rsid w:val="00246381"/>
    <w:rsid w:val="0024647E"/>
    <w:rsid w:val="00246488"/>
    <w:rsid w:val="002464D6"/>
    <w:rsid w:val="00246D42"/>
    <w:rsid w:val="002474BB"/>
    <w:rsid w:val="00247547"/>
    <w:rsid w:val="0024757C"/>
    <w:rsid w:val="0024791E"/>
    <w:rsid w:val="00247DA9"/>
    <w:rsid w:val="00247EEF"/>
    <w:rsid w:val="00250008"/>
    <w:rsid w:val="00250197"/>
    <w:rsid w:val="00250199"/>
    <w:rsid w:val="00250BBC"/>
    <w:rsid w:val="0025166D"/>
    <w:rsid w:val="002517D6"/>
    <w:rsid w:val="00251857"/>
    <w:rsid w:val="00251CAD"/>
    <w:rsid w:val="00251CDB"/>
    <w:rsid w:val="00251F27"/>
    <w:rsid w:val="0025288D"/>
    <w:rsid w:val="0025295F"/>
    <w:rsid w:val="00252CAC"/>
    <w:rsid w:val="00252F03"/>
    <w:rsid w:val="00254068"/>
    <w:rsid w:val="00254132"/>
    <w:rsid w:val="0025437F"/>
    <w:rsid w:val="002543B7"/>
    <w:rsid w:val="002543E4"/>
    <w:rsid w:val="0025491D"/>
    <w:rsid w:val="00254C66"/>
    <w:rsid w:val="00254F01"/>
    <w:rsid w:val="00255EE8"/>
    <w:rsid w:val="00255FCE"/>
    <w:rsid w:val="00256194"/>
    <w:rsid w:val="002561EB"/>
    <w:rsid w:val="002562FC"/>
    <w:rsid w:val="0025655B"/>
    <w:rsid w:val="00256DF7"/>
    <w:rsid w:val="0025779A"/>
    <w:rsid w:val="0025779D"/>
    <w:rsid w:val="0026029A"/>
    <w:rsid w:val="00260D15"/>
    <w:rsid w:val="00260E67"/>
    <w:rsid w:val="00260F20"/>
    <w:rsid w:val="00261176"/>
    <w:rsid w:val="00261393"/>
    <w:rsid w:val="002613DB"/>
    <w:rsid w:val="002618A3"/>
    <w:rsid w:val="00262123"/>
    <w:rsid w:val="00262646"/>
    <w:rsid w:val="00262D2B"/>
    <w:rsid w:val="002636FF"/>
    <w:rsid w:val="002645DA"/>
    <w:rsid w:val="00264E7D"/>
    <w:rsid w:val="002657DE"/>
    <w:rsid w:val="002664C8"/>
    <w:rsid w:val="00266664"/>
    <w:rsid w:val="00266C14"/>
    <w:rsid w:val="00266F9C"/>
    <w:rsid w:val="00266FD1"/>
    <w:rsid w:val="00267219"/>
    <w:rsid w:val="002676F0"/>
    <w:rsid w:val="002678EF"/>
    <w:rsid w:val="00270446"/>
    <w:rsid w:val="002709C0"/>
    <w:rsid w:val="00270D16"/>
    <w:rsid w:val="00270ED1"/>
    <w:rsid w:val="0027103B"/>
    <w:rsid w:val="0027108A"/>
    <w:rsid w:val="0027121E"/>
    <w:rsid w:val="00271908"/>
    <w:rsid w:val="002719B4"/>
    <w:rsid w:val="00271DA3"/>
    <w:rsid w:val="00272180"/>
    <w:rsid w:val="00272224"/>
    <w:rsid w:val="0027239D"/>
    <w:rsid w:val="00272821"/>
    <w:rsid w:val="00272AB6"/>
    <w:rsid w:val="00272F4D"/>
    <w:rsid w:val="0027343A"/>
    <w:rsid w:val="0027364E"/>
    <w:rsid w:val="00273CD5"/>
    <w:rsid w:val="00273D3A"/>
    <w:rsid w:val="00274631"/>
    <w:rsid w:val="00274945"/>
    <w:rsid w:val="00274BBF"/>
    <w:rsid w:val="0027520A"/>
    <w:rsid w:val="00275496"/>
    <w:rsid w:val="0027561D"/>
    <w:rsid w:val="0027585D"/>
    <w:rsid w:val="00275FB4"/>
    <w:rsid w:val="00276E24"/>
    <w:rsid w:val="002772ED"/>
    <w:rsid w:val="00277358"/>
    <w:rsid w:val="00277383"/>
    <w:rsid w:val="0027787A"/>
    <w:rsid w:val="00277E05"/>
    <w:rsid w:val="00277E59"/>
    <w:rsid w:val="00277F37"/>
    <w:rsid w:val="00277FA6"/>
    <w:rsid w:val="002803B0"/>
    <w:rsid w:val="0028083E"/>
    <w:rsid w:val="002808C0"/>
    <w:rsid w:val="00280A17"/>
    <w:rsid w:val="002810C1"/>
    <w:rsid w:val="0028153E"/>
    <w:rsid w:val="00281667"/>
    <w:rsid w:val="00281697"/>
    <w:rsid w:val="00281FAA"/>
    <w:rsid w:val="00281FDB"/>
    <w:rsid w:val="0028231C"/>
    <w:rsid w:val="002823E7"/>
    <w:rsid w:val="002824CF"/>
    <w:rsid w:val="002827C1"/>
    <w:rsid w:val="002832D4"/>
    <w:rsid w:val="00283478"/>
    <w:rsid w:val="00283911"/>
    <w:rsid w:val="00283CB0"/>
    <w:rsid w:val="00283F18"/>
    <w:rsid w:val="00283F7A"/>
    <w:rsid w:val="00283F89"/>
    <w:rsid w:val="00284054"/>
    <w:rsid w:val="00284309"/>
    <w:rsid w:val="0028484C"/>
    <w:rsid w:val="00284A2D"/>
    <w:rsid w:val="00284AC3"/>
    <w:rsid w:val="00284BAB"/>
    <w:rsid w:val="00284BEB"/>
    <w:rsid w:val="00285217"/>
    <w:rsid w:val="00285391"/>
    <w:rsid w:val="00285468"/>
    <w:rsid w:val="00285C95"/>
    <w:rsid w:val="00285DB7"/>
    <w:rsid w:val="0028600C"/>
    <w:rsid w:val="00286614"/>
    <w:rsid w:val="0028663B"/>
    <w:rsid w:val="002872FD"/>
    <w:rsid w:val="002873A1"/>
    <w:rsid w:val="00287719"/>
    <w:rsid w:val="00287779"/>
    <w:rsid w:val="002879F7"/>
    <w:rsid w:val="00287E8A"/>
    <w:rsid w:val="00290279"/>
    <w:rsid w:val="00290C6C"/>
    <w:rsid w:val="002910D9"/>
    <w:rsid w:val="00291C64"/>
    <w:rsid w:val="00291ECE"/>
    <w:rsid w:val="00292281"/>
    <w:rsid w:val="002922FD"/>
    <w:rsid w:val="002928CE"/>
    <w:rsid w:val="00292D97"/>
    <w:rsid w:val="00293126"/>
    <w:rsid w:val="002931D4"/>
    <w:rsid w:val="00293C95"/>
    <w:rsid w:val="00293CD8"/>
    <w:rsid w:val="002941AC"/>
    <w:rsid w:val="00294DEF"/>
    <w:rsid w:val="00295028"/>
    <w:rsid w:val="00295262"/>
    <w:rsid w:val="002955A7"/>
    <w:rsid w:val="002958D3"/>
    <w:rsid w:val="00295902"/>
    <w:rsid w:val="00295BB7"/>
    <w:rsid w:val="00295F1E"/>
    <w:rsid w:val="00295FEA"/>
    <w:rsid w:val="00296333"/>
    <w:rsid w:val="00296462"/>
    <w:rsid w:val="0029646F"/>
    <w:rsid w:val="00296630"/>
    <w:rsid w:val="00296802"/>
    <w:rsid w:val="002968A9"/>
    <w:rsid w:val="00296B5F"/>
    <w:rsid w:val="00296BAF"/>
    <w:rsid w:val="00296FDD"/>
    <w:rsid w:val="0029703E"/>
    <w:rsid w:val="002970D6"/>
    <w:rsid w:val="002970ED"/>
    <w:rsid w:val="00297669"/>
    <w:rsid w:val="00297711"/>
    <w:rsid w:val="00297BDD"/>
    <w:rsid w:val="00297D57"/>
    <w:rsid w:val="002A005D"/>
    <w:rsid w:val="002A0275"/>
    <w:rsid w:val="002A0C6D"/>
    <w:rsid w:val="002A0DC3"/>
    <w:rsid w:val="002A113E"/>
    <w:rsid w:val="002A13AA"/>
    <w:rsid w:val="002A1658"/>
    <w:rsid w:val="002A1691"/>
    <w:rsid w:val="002A1C66"/>
    <w:rsid w:val="002A1C73"/>
    <w:rsid w:val="002A2277"/>
    <w:rsid w:val="002A27A0"/>
    <w:rsid w:val="002A3751"/>
    <w:rsid w:val="002A38A0"/>
    <w:rsid w:val="002A3F2C"/>
    <w:rsid w:val="002A4093"/>
    <w:rsid w:val="002A4128"/>
    <w:rsid w:val="002A4668"/>
    <w:rsid w:val="002A48F7"/>
    <w:rsid w:val="002A4A88"/>
    <w:rsid w:val="002A5138"/>
    <w:rsid w:val="002A5147"/>
    <w:rsid w:val="002A552B"/>
    <w:rsid w:val="002A55E2"/>
    <w:rsid w:val="002A56EA"/>
    <w:rsid w:val="002A57FC"/>
    <w:rsid w:val="002A5875"/>
    <w:rsid w:val="002A59D9"/>
    <w:rsid w:val="002A6072"/>
    <w:rsid w:val="002A64C7"/>
    <w:rsid w:val="002A6761"/>
    <w:rsid w:val="002A6BD3"/>
    <w:rsid w:val="002A6DA7"/>
    <w:rsid w:val="002A72AF"/>
    <w:rsid w:val="002A72DE"/>
    <w:rsid w:val="002A75FA"/>
    <w:rsid w:val="002A7722"/>
    <w:rsid w:val="002A7C62"/>
    <w:rsid w:val="002A7FD3"/>
    <w:rsid w:val="002B0125"/>
    <w:rsid w:val="002B0601"/>
    <w:rsid w:val="002B0C0C"/>
    <w:rsid w:val="002B0D66"/>
    <w:rsid w:val="002B10C1"/>
    <w:rsid w:val="002B10D7"/>
    <w:rsid w:val="002B1B71"/>
    <w:rsid w:val="002B1C28"/>
    <w:rsid w:val="002B1D1D"/>
    <w:rsid w:val="002B2009"/>
    <w:rsid w:val="002B20ED"/>
    <w:rsid w:val="002B23C6"/>
    <w:rsid w:val="002B2526"/>
    <w:rsid w:val="002B28AE"/>
    <w:rsid w:val="002B2EDF"/>
    <w:rsid w:val="002B2FC0"/>
    <w:rsid w:val="002B2FD5"/>
    <w:rsid w:val="002B30EB"/>
    <w:rsid w:val="002B31A3"/>
    <w:rsid w:val="002B336E"/>
    <w:rsid w:val="002B34B2"/>
    <w:rsid w:val="002B3819"/>
    <w:rsid w:val="002B38F1"/>
    <w:rsid w:val="002B3C01"/>
    <w:rsid w:val="002B3D58"/>
    <w:rsid w:val="002B435F"/>
    <w:rsid w:val="002B43A2"/>
    <w:rsid w:val="002B43C9"/>
    <w:rsid w:val="002B5110"/>
    <w:rsid w:val="002B51FD"/>
    <w:rsid w:val="002B5479"/>
    <w:rsid w:val="002B5C09"/>
    <w:rsid w:val="002B602B"/>
    <w:rsid w:val="002B64DB"/>
    <w:rsid w:val="002B6B56"/>
    <w:rsid w:val="002B6C12"/>
    <w:rsid w:val="002B72BD"/>
    <w:rsid w:val="002B7E68"/>
    <w:rsid w:val="002B7FAB"/>
    <w:rsid w:val="002C002D"/>
    <w:rsid w:val="002C029E"/>
    <w:rsid w:val="002C02C7"/>
    <w:rsid w:val="002C0380"/>
    <w:rsid w:val="002C077D"/>
    <w:rsid w:val="002C0931"/>
    <w:rsid w:val="002C10CE"/>
    <w:rsid w:val="002C1246"/>
    <w:rsid w:val="002C1393"/>
    <w:rsid w:val="002C179E"/>
    <w:rsid w:val="002C1B55"/>
    <w:rsid w:val="002C1C98"/>
    <w:rsid w:val="002C1ED9"/>
    <w:rsid w:val="002C2AC0"/>
    <w:rsid w:val="002C362D"/>
    <w:rsid w:val="002C3BCC"/>
    <w:rsid w:val="002C420F"/>
    <w:rsid w:val="002C426A"/>
    <w:rsid w:val="002C47BE"/>
    <w:rsid w:val="002C48CD"/>
    <w:rsid w:val="002C4ACD"/>
    <w:rsid w:val="002C51FF"/>
    <w:rsid w:val="002C5267"/>
    <w:rsid w:val="002C5815"/>
    <w:rsid w:val="002C5863"/>
    <w:rsid w:val="002C5BCB"/>
    <w:rsid w:val="002C5C27"/>
    <w:rsid w:val="002C5EC5"/>
    <w:rsid w:val="002C6327"/>
    <w:rsid w:val="002C656E"/>
    <w:rsid w:val="002C686F"/>
    <w:rsid w:val="002C6B91"/>
    <w:rsid w:val="002C6BA2"/>
    <w:rsid w:val="002C6CA2"/>
    <w:rsid w:val="002C6F2A"/>
    <w:rsid w:val="002C70B9"/>
    <w:rsid w:val="002C716C"/>
    <w:rsid w:val="002C78F7"/>
    <w:rsid w:val="002C7C1C"/>
    <w:rsid w:val="002D02AE"/>
    <w:rsid w:val="002D06D3"/>
    <w:rsid w:val="002D074A"/>
    <w:rsid w:val="002D0A34"/>
    <w:rsid w:val="002D13A2"/>
    <w:rsid w:val="002D1513"/>
    <w:rsid w:val="002D1592"/>
    <w:rsid w:val="002D1932"/>
    <w:rsid w:val="002D194C"/>
    <w:rsid w:val="002D1A4A"/>
    <w:rsid w:val="002D202D"/>
    <w:rsid w:val="002D219F"/>
    <w:rsid w:val="002D2442"/>
    <w:rsid w:val="002D26ED"/>
    <w:rsid w:val="002D2901"/>
    <w:rsid w:val="002D2BDD"/>
    <w:rsid w:val="002D2D26"/>
    <w:rsid w:val="002D2F9B"/>
    <w:rsid w:val="002D3267"/>
    <w:rsid w:val="002D33E0"/>
    <w:rsid w:val="002D3400"/>
    <w:rsid w:val="002D3674"/>
    <w:rsid w:val="002D4119"/>
    <w:rsid w:val="002D424E"/>
    <w:rsid w:val="002D432D"/>
    <w:rsid w:val="002D4FCA"/>
    <w:rsid w:val="002D53FA"/>
    <w:rsid w:val="002D5439"/>
    <w:rsid w:val="002D5710"/>
    <w:rsid w:val="002D57DD"/>
    <w:rsid w:val="002D582F"/>
    <w:rsid w:val="002D5B8B"/>
    <w:rsid w:val="002D5BE6"/>
    <w:rsid w:val="002D655C"/>
    <w:rsid w:val="002D69C3"/>
    <w:rsid w:val="002D6EB1"/>
    <w:rsid w:val="002D7226"/>
    <w:rsid w:val="002D779F"/>
    <w:rsid w:val="002D77A7"/>
    <w:rsid w:val="002D7C5E"/>
    <w:rsid w:val="002E070D"/>
    <w:rsid w:val="002E073E"/>
    <w:rsid w:val="002E0DCF"/>
    <w:rsid w:val="002E1352"/>
    <w:rsid w:val="002E1417"/>
    <w:rsid w:val="002E1873"/>
    <w:rsid w:val="002E2774"/>
    <w:rsid w:val="002E27E7"/>
    <w:rsid w:val="002E29CE"/>
    <w:rsid w:val="002E2B15"/>
    <w:rsid w:val="002E30EE"/>
    <w:rsid w:val="002E3651"/>
    <w:rsid w:val="002E367B"/>
    <w:rsid w:val="002E43EB"/>
    <w:rsid w:val="002E44A8"/>
    <w:rsid w:val="002E4627"/>
    <w:rsid w:val="002E4B6E"/>
    <w:rsid w:val="002E4C8F"/>
    <w:rsid w:val="002E4E4E"/>
    <w:rsid w:val="002E5146"/>
    <w:rsid w:val="002E5748"/>
    <w:rsid w:val="002E57CF"/>
    <w:rsid w:val="002E595A"/>
    <w:rsid w:val="002E5991"/>
    <w:rsid w:val="002E5CE7"/>
    <w:rsid w:val="002E64B4"/>
    <w:rsid w:val="002E64FC"/>
    <w:rsid w:val="002E701E"/>
    <w:rsid w:val="002E7020"/>
    <w:rsid w:val="002E73C6"/>
    <w:rsid w:val="002E7CC8"/>
    <w:rsid w:val="002F0135"/>
    <w:rsid w:val="002F0446"/>
    <w:rsid w:val="002F0A87"/>
    <w:rsid w:val="002F0EA1"/>
    <w:rsid w:val="002F2242"/>
    <w:rsid w:val="002F244C"/>
    <w:rsid w:val="002F24CE"/>
    <w:rsid w:val="002F24D8"/>
    <w:rsid w:val="002F27FC"/>
    <w:rsid w:val="002F299B"/>
    <w:rsid w:val="002F2A3F"/>
    <w:rsid w:val="002F2C51"/>
    <w:rsid w:val="002F3890"/>
    <w:rsid w:val="002F3B20"/>
    <w:rsid w:val="002F4ABE"/>
    <w:rsid w:val="002F4AE9"/>
    <w:rsid w:val="002F51E1"/>
    <w:rsid w:val="002F561B"/>
    <w:rsid w:val="002F5B3D"/>
    <w:rsid w:val="002F697E"/>
    <w:rsid w:val="002F6A2E"/>
    <w:rsid w:val="002F6B4E"/>
    <w:rsid w:val="002F73AB"/>
    <w:rsid w:val="002F73AD"/>
    <w:rsid w:val="00300059"/>
    <w:rsid w:val="00300393"/>
    <w:rsid w:val="00300520"/>
    <w:rsid w:val="00300AE4"/>
    <w:rsid w:val="00300C62"/>
    <w:rsid w:val="00301756"/>
    <w:rsid w:val="0030185F"/>
    <w:rsid w:val="00302229"/>
    <w:rsid w:val="00302636"/>
    <w:rsid w:val="0030267A"/>
    <w:rsid w:val="00302715"/>
    <w:rsid w:val="00302957"/>
    <w:rsid w:val="00302C9E"/>
    <w:rsid w:val="003034DA"/>
    <w:rsid w:val="0030355A"/>
    <w:rsid w:val="00303866"/>
    <w:rsid w:val="00303CC6"/>
    <w:rsid w:val="00303CF1"/>
    <w:rsid w:val="00303DF2"/>
    <w:rsid w:val="0030453B"/>
    <w:rsid w:val="00304577"/>
    <w:rsid w:val="00304656"/>
    <w:rsid w:val="003048BD"/>
    <w:rsid w:val="00304ABA"/>
    <w:rsid w:val="00304D42"/>
    <w:rsid w:val="0030564B"/>
    <w:rsid w:val="00305A04"/>
    <w:rsid w:val="00305AD9"/>
    <w:rsid w:val="00305F70"/>
    <w:rsid w:val="00306641"/>
    <w:rsid w:val="003069A8"/>
    <w:rsid w:val="0030711A"/>
    <w:rsid w:val="003073A2"/>
    <w:rsid w:val="003078C4"/>
    <w:rsid w:val="00307E91"/>
    <w:rsid w:val="003102EC"/>
    <w:rsid w:val="00310786"/>
    <w:rsid w:val="003111E6"/>
    <w:rsid w:val="00311634"/>
    <w:rsid w:val="003117DF"/>
    <w:rsid w:val="00311D65"/>
    <w:rsid w:val="0031223E"/>
    <w:rsid w:val="00312ECF"/>
    <w:rsid w:val="00313BDB"/>
    <w:rsid w:val="00314148"/>
    <w:rsid w:val="00314648"/>
    <w:rsid w:val="0031470E"/>
    <w:rsid w:val="00314B94"/>
    <w:rsid w:val="0031590F"/>
    <w:rsid w:val="00315B98"/>
    <w:rsid w:val="00315BBF"/>
    <w:rsid w:val="00316376"/>
    <w:rsid w:val="003163DD"/>
    <w:rsid w:val="00316455"/>
    <w:rsid w:val="00316539"/>
    <w:rsid w:val="003168F4"/>
    <w:rsid w:val="00316FBB"/>
    <w:rsid w:val="00317A0A"/>
    <w:rsid w:val="00317AE6"/>
    <w:rsid w:val="00317CEC"/>
    <w:rsid w:val="0032048A"/>
    <w:rsid w:val="003206E0"/>
    <w:rsid w:val="003209CB"/>
    <w:rsid w:val="00320BAD"/>
    <w:rsid w:val="00320D0B"/>
    <w:rsid w:val="00320FE8"/>
    <w:rsid w:val="0032121F"/>
    <w:rsid w:val="00321788"/>
    <w:rsid w:val="00321BE4"/>
    <w:rsid w:val="00322892"/>
    <w:rsid w:val="0032292D"/>
    <w:rsid w:val="0032298C"/>
    <w:rsid w:val="003237A6"/>
    <w:rsid w:val="0032395B"/>
    <w:rsid w:val="00323C16"/>
    <w:rsid w:val="00323C42"/>
    <w:rsid w:val="00323E89"/>
    <w:rsid w:val="00324107"/>
    <w:rsid w:val="00324521"/>
    <w:rsid w:val="003247C9"/>
    <w:rsid w:val="00324E8B"/>
    <w:rsid w:val="00325027"/>
    <w:rsid w:val="0032527A"/>
    <w:rsid w:val="00325376"/>
    <w:rsid w:val="003253C8"/>
    <w:rsid w:val="00325C4E"/>
    <w:rsid w:val="00325D50"/>
    <w:rsid w:val="00325E0B"/>
    <w:rsid w:val="00325E3B"/>
    <w:rsid w:val="00326A49"/>
    <w:rsid w:val="00326D45"/>
    <w:rsid w:val="0032718E"/>
    <w:rsid w:val="003271F0"/>
    <w:rsid w:val="00327D5E"/>
    <w:rsid w:val="003304C7"/>
    <w:rsid w:val="00330516"/>
    <w:rsid w:val="00330519"/>
    <w:rsid w:val="003309C5"/>
    <w:rsid w:val="00330CB0"/>
    <w:rsid w:val="003316AF"/>
    <w:rsid w:val="00331E19"/>
    <w:rsid w:val="00332332"/>
    <w:rsid w:val="0033241E"/>
    <w:rsid w:val="003324DE"/>
    <w:rsid w:val="003326CC"/>
    <w:rsid w:val="003327C5"/>
    <w:rsid w:val="003328E3"/>
    <w:rsid w:val="00332D03"/>
    <w:rsid w:val="0033305D"/>
    <w:rsid w:val="003339B9"/>
    <w:rsid w:val="00333F11"/>
    <w:rsid w:val="0033402E"/>
    <w:rsid w:val="0033461F"/>
    <w:rsid w:val="003349B3"/>
    <w:rsid w:val="00334CFD"/>
    <w:rsid w:val="00334E1E"/>
    <w:rsid w:val="00335004"/>
    <w:rsid w:val="0033521F"/>
    <w:rsid w:val="00335FB8"/>
    <w:rsid w:val="00336166"/>
    <w:rsid w:val="003361B1"/>
    <w:rsid w:val="00336E33"/>
    <w:rsid w:val="00336EBB"/>
    <w:rsid w:val="0033762D"/>
    <w:rsid w:val="003379BA"/>
    <w:rsid w:val="00340303"/>
    <w:rsid w:val="0034038D"/>
    <w:rsid w:val="0034089C"/>
    <w:rsid w:val="00340BEA"/>
    <w:rsid w:val="00340F89"/>
    <w:rsid w:val="00341B3D"/>
    <w:rsid w:val="00341B8F"/>
    <w:rsid w:val="00341CA3"/>
    <w:rsid w:val="00341E5D"/>
    <w:rsid w:val="003420C4"/>
    <w:rsid w:val="00342233"/>
    <w:rsid w:val="00342728"/>
    <w:rsid w:val="00342C76"/>
    <w:rsid w:val="00342D6B"/>
    <w:rsid w:val="00343340"/>
    <w:rsid w:val="00343361"/>
    <w:rsid w:val="00343912"/>
    <w:rsid w:val="00343C82"/>
    <w:rsid w:val="00343EAF"/>
    <w:rsid w:val="0034409F"/>
    <w:rsid w:val="00344407"/>
    <w:rsid w:val="00344B74"/>
    <w:rsid w:val="00344BB5"/>
    <w:rsid w:val="00344C48"/>
    <w:rsid w:val="00344F44"/>
    <w:rsid w:val="00344FE7"/>
    <w:rsid w:val="00345955"/>
    <w:rsid w:val="00345C33"/>
    <w:rsid w:val="00345FAA"/>
    <w:rsid w:val="00346459"/>
    <w:rsid w:val="0034649F"/>
    <w:rsid w:val="003468F1"/>
    <w:rsid w:val="00346C32"/>
    <w:rsid w:val="00347072"/>
    <w:rsid w:val="00347414"/>
    <w:rsid w:val="003475C1"/>
    <w:rsid w:val="00347782"/>
    <w:rsid w:val="003479AF"/>
    <w:rsid w:val="00347B13"/>
    <w:rsid w:val="00350390"/>
    <w:rsid w:val="003508FF"/>
    <w:rsid w:val="00350B83"/>
    <w:rsid w:val="00350E61"/>
    <w:rsid w:val="003512E5"/>
    <w:rsid w:val="0035147C"/>
    <w:rsid w:val="00351B63"/>
    <w:rsid w:val="00352144"/>
    <w:rsid w:val="003523AB"/>
    <w:rsid w:val="00352581"/>
    <w:rsid w:val="003529BA"/>
    <w:rsid w:val="00352EA7"/>
    <w:rsid w:val="00353DAF"/>
    <w:rsid w:val="0035474A"/>
    <w:rsid w:val="0035487E"/>
    <w:rsid w:val="00354CC4"/>
    <w:rsid w:val="00354D0C"/>
    <w:rsid w:val="00354DAE"/>
    <w:rsid w:val="00355241"/>
    <w:rsid w:val="0035528E"/>
    <w:rsid w:val="0035578E"/>
    <w:rsid w:val="00355825"/>
    <w:rsid w:val="00355A16"/>
    <w:rsid w:val="00355B51"/>
    <w:rsid w:val="00356626"/>
    <w:rsid w:val="00357023"/>
    <w:rsid w:val="003574E3"/>
    <w:rsid w:val="003575E6"/>
    <w:rsid w:val="00357E81"/>
    <w:rsid w:val="0036014A"/>
    <w:rsid w:val="00360153"/>
    <w:rsid w:val="00360316"/>
    <w:rsid w:val="00360AE9"/>
    <w:rsid w:val="00360F70"/>
    <w:rsid w:val="003610ED"/>
    <w:rsid w:val="00361DC0"/>
    <w:rsid w:val="00361F12"/>
    <w:rsid w:val="00362096"/>
    <w:rsid w:val="003620D8"/>
    <w:rsid w:val="00362421"/>
    <w:rsid w:val="00362C25"/>
    <w:rsid w:val="003630CC"/>
    <w:rsid w:val="0036312D"/>
    <w:rsid w:val="003634C1"/>
    <w:rsid w:val="00363BA7"/>
    <w:rsid w:val="0036427D"/>
    <w:rsid w:val="00364875"/>
    <w:rsid w:val="00364C1A"/>
    <w:rsid w:val="00365813"/>
    <w:rsid w:val="00365B22"/>
    <w:rsid w:val="00365B95"/>
    <w:rsid w:val="003661C5"/>
    <w:rsid w:val="003662E5"/>
    <w:rsid w:val="003666DC"/>
    <w:rsid w:val="00366B6A"/>
    <w:rsid w:val="00366D64"/>
    <w:rsid w:val="00367233"/>
    <w:rsid w:val="0036771C"/>
    <w:rsid w:val="0036792E"/>
    <w:rsid w:val="00367A5E"/>
    <w:rsid w:val="00367B65"/>
    <w:rsid w:val="00367BB1"/>
    <w:rsid w:val="00367D24"/>
    <w:rsid w:val="0037050D"/>
    <w:rsid w:val="003709D5"/>
    <w:rsid w:val="00370AA8"/>
    <w:rsid w:val="00370AE9"/>
    <w:rsid w:val="00370C38"/>
    <w:rsid w:val="00371254"/>
    <w:rsid w:val="003713AE"/>
    <w:rsid w:val="0037198B"/>
    <w:rsid w:val="003719D1"/>
    <w:rsid w:val="0037277E"/>
    <w:rsid w:val="0037294B"/>
    <w:rsid w:val="003729AD"/>
    <w:rsid w:val="00372E11"/>
    <w:rsid w:val="00372FAB"/>
    <w:rsid w:val="0037308D"/>
    <w:rsid w:val="003730B9"/>
    <w:rsid w:val="00373885"/>
    <w:rsid w:val="00373EB0"/>
    <w:rsid w:val="00374017"/>
    <w:rsid w:val="003745F4"/>
    <w:rsid w:val="00374661"/>
    <w:rsid w:val="00374992"/>
    <w:rsid w:val="00374E6B"/>
    <w:rsid w:val="00375D55"/>
    <w:rsid w:val="00375FF5"/>
    <w:rsid w:val="0037627E"/>
    <w:rsid w:val="003762D9"/>
    <w:rsid w:val="003765F0"/>
    <w:rsid w:val="00376A21"/>
    <w:rsid w:val="00376DA8"/>
    <w:rsid w:val="003770B5"/>
    <w:rsid w:val="003771CB"/>
    <w:rsid w:val="0037766D"/>
    <w:rsid w:val="00377B1E"/>
    <w:rsid w:val="00377BFB"/>
    <w:rsid w:val="00377DA9"/>
    <w:rsid w:val="0038016B"/>
    <w:rsid w:val="0038022C"/>
    <w:rsid w:val="00380683"/>
    <w:rsid w:val="003809C8"/>
    <w:rsid w:val="00380F9F"/>
    <w:rsid w:val="00381607"/>
    <w:rsid w:val="00381643"/>
    <w:rsid w:val="003818C6"/>
    <w:rsid w:val="0038195D"/>
    <w:rsid w:val="00382698"/>
    <w:rsid w:val="003826DB"/>
    <w:rsid w:val="00382762"/>
    <w:rsid w:val="00382D32"/>
    <w:rsid w:val="00382E6A"/>
    <w:rsid w:val="00382F7E"/>
    <w:rsid w:val="00383059"/>
    <w:rsid w:val="003834DF"/>
    <w:rsid w:val="00383A8F"/>
    <w:rsid w:val="00383C0F"/>
    <w:rsid w:val="00383CAB"/>
    <w:rsid w:val="00383D55"/>
    <w:rsid w:val="00383E25"/>
    <w:rsid w:val="00384120"/>
    <w:rsid w:val="0038419E"/>
    <w:rsid w:val="00384865"/>
    <w:rsid w:val="00384C56"/>
    <w:rsid w:val="00384CE5"/>
    <w:rsid w:val="003857F4"/>
    <w:rsid w:val="00385BC6"/>
    <w:rsid w:val="00385EF9"/>
    <w:rsid w:val="00386415"/>
    <w:rsid w:val="003865C8"/>
    <w:rsid w:val="00386C60"/>
    <w:rsid w:val="00386D01"/>
    <w:rsid w:val="00387529"/>
    <w:rsid w:val="0039035E"/>
    <w:rsid w:val="003903F6"/>
    <w:rsid w:val="00390620"/>
    <w:rsid w:val="0039065B"/>
    <w:rsid w:val="00390732"/>
    <w:rsid w:val="00390AEA"/>
    <w:rsid w:val="0039104A"/>
    <w:rsid w:val="0039143C"/>
    <w:rsid w:val="0039174F"/>
    <w:rsid w:val="0039199B"/>
    <w:rsid w:val="003921FB"/>
    <w:rsid w:val="00392300"/>
    <w:rsid w:val="0039255E"/>
    <w:rsid w:val="00392796"/>
    <w:rsid w:val="00392C21"/>
    <w:rsid w:val="00393210"/>
    <w:rsid w:val="0039331E"/>
    <w:rsid w:val="00393882"/>
    <w:rsid w:val="003946D6"/>
    <w:rsid w:val="0039479A"/>
    <w:rsid w:val="00394B90"/>
    <w:rsid w:val="0039578A"/>
    <w:rsid w:val="00395D20"/>
    <w:rsid w:val="00395D28"/>
    <w:rsid w:val="003962B1"/>
    <w:rsid w:val="003962EA"/>
    <w:rsid w:val="00396F81"/>
    <w:rsid w:val="003972DA"/>
    <w:rsid w:val="0039753D"/>
    <w:rsid w:val="003976A2"/>
    <w:rsid w:val="003978EB"/>
    <w:rsid w:val="00397951"/>
    <w:rsid w:val="00397BEA"/>
    <w:rsid w:val="003A073D"/>
    <w:rsid w:val="003A0CDC"/>
    <w:rsid w:val="003A0D57"/>
    <w:rsid w:val="003A0E08"/>
    <w:rsid w:val="003A1183"/>
    <w:rsid w:val="003A120F"/>
    <w:rsid w:val="003A1A56"/>
    <w:rsid w:val="003A25AD"/>
    <w:rsid w:val="003A26E3"/>
    <w:rsid w:val="003A2CE5"/>
    <w:rsid w:val="003A2F62"/>
    <w:rsid w:val="003A2F68"/>
    <w:rsid w:val="003A33D8"/>
    <w:rsid w:val="003A3782"/>
    <w:rsid w:val="003A37C9"/>
    <w:rsid w:val="003A39AA"/>
    <w:rsid w:val="003A3C8A"/>
    <w:rsid w:val="003A3F32"/>
    <w:rsid w:val="003A40BC"/>
    <w:rsid w:val="003A4BD5"/>
    <w:rsid w:val="003A4BE5"/>
    <w:rsid w:val="003A4F03"/>
    <w:rsid w:val="003A4FAF"/>
    <w:rsid w:val="003A4FDF"/>
    <w:rsid w:val="003A5141"/>
    <w:rsid w:val="003A5689"/>
    <w:rsid w:val="003A56A2"/>
    <w:rsid w:val="003A6049"/>
    <w:rsid w:val="003A6B12"/>
    <w:rsid w:val="003A6D26"/>
    <w:rsid w:val="003A6E2C"/>
    <w:rsid w:val="003A715A"/>
    <w:rsid w:val="003A7594"/>
    <w:rsid w:val="003A7659"/>
    <w:rsid w:val="003A7B3A"/>
    <w:rsid w:val="003A7D64"/>
    <w:rsid w:val="003B0061"/>
    <w:rsid w:val="003B014D"/>
    <w:rsid w:val="003B0537"/>
    <w:rsid w:val="003B0D57"/>
    <w:rsid w:val="003B0E1F"/>
    <w:rsid w:val="003B169B"/>
    <w:rsid w:val="003B1A50"/>
    <w:rsid w:val="003B23DC"/>
    <w:rsid w:val="003B2A0B"/>
    <w:rsid w:val="003B2C6B"/>
    <w:rsid w:val="003B2E04"/>
    <w:rsid w:val="003B2FCA"/>
    <w:rsid w:val="003B36CB"/>
    <w:rsid w:val="003B37EE"/>
    <w:rsid w:val="003B3A4F"/>
    <w:rsid w:val="003B3C7C"/>
    <w:rsid w:val="003B3DE4"/>
    <w:rsid w:val="003B3F00"/>
    <w:rsid w:val="003B442D"/>
    <w:rsid w:val="003B4BAE"/>
    <w:rsid w:val="003B4DE1"/>
    <w:rsid w:val="003B4F0F"/>
    <w:rsid w:val="003B4F75"/>
    <w:rsid w:val="003B5210"/>
    <w:rsid w:val="003B5364"/>
    <w:rsid w:val="003B5410"/>
    <w:rsid w:val="003B55B3"/>
    <w:rsid w:val="003B56ED"/>
    <w:rsid w:val="003B5A9C"/>
    <w:rsid w:val="003B5BC4"/>
    <w:rsid w:val="003B5E5E"/>
    <w:rsid w:val="003B5F5B"/>
    <w:rsid w:val="003B60A5"/>
    <w:rsid w:val="003B61F9"/>
    <w:rsid w:val="003B6275"/>
    <w:rsid w:val="003B6519"/>
    <w:rsid w:val="003B6568"/>
    <w:rsid w:val="003B6AC6"/>
    <w:rsid w:val="003B755C"/>
    <w:rsid w:val="003B7E25"/>
    <w:rsid w:val="003B7ECB"/>
    <w:rsid w:val="003C010A"/>
    <w:rsid w:val="003C0C11"/>
    <w:rsid w:val="003C12D1"/>
    <w:rsid w:val="003C12E3"/>
    <w:rsid w:val="003C1324"/>
    <w:rsid w:val="003C2148"/>
    <w:rsid w:val="003C2320"/>
    <w:rsid w:val="003C236F"/>
    <w:rsid w:val="003C27A5"/>
    <w:rsid w:val="003C2BDF"/>
    <w:rsid w:val="003C2DC1"/>
    <w:rsid w:val="003C2E43"/>
    <w:rsid w:val="003C2F9E"/>
    <w:rsid w:val="003C32C5"/>
    <w:rsid w:val="003C3604"/>
    <w:rsid w:val="003C3631"/>
    <w:rsid w:val="003C39C7"/>
    <w:rsid w:val="003C3AAC"/>
    <w:rsid w:val="003C404C"/>
    <w:rsid w:val="003C41CE"/>
    <w:rsid w:val="003C44AD"/>
    <w:rsid w:val="003C4624"/>
    <w:rsid w:val="003C49A2"/>
    <w:rsid w:val="003C4C7E"/>
    <w:rsid w:val="003C4FFE"/>
    <w:rsid w:val="003C5049"/>
    <w:rsid w:val="003C558A"/>
    <w:rsid w:val="003C55C6"/>
    <w:rsid w:val="003C55E3"/>
    <w:rsid w:val="003C5C3F"/>
    <w:rsid w:val="003C5E38"/>
    <w:rsid w:val="003C6080"/>
    <w:rsid w:val="003C6397"/>
    <w:rsid w:val="003C6399"/>
    <w:rsid w:val="003C63C2"/>
    <w:rsid w:val="003C652A"/>
    <w:rsid w:val="003C665E"/>
    <w:rsid w:val="003C69FB"/>
    <w:rsid w:val="003C71DE"/>
    <w:rsid w:val="003C7209"/>
    <w:rsid w:val="003C730A"/>
    <w:rsid w:val="003C7384"/>
    <w:rsid w:val="003C767E"/>
    <w:rsid w:val="003C78AA"/>
    <w:rsid w:val="003C79C7"/>
    <w:rsid w:val="003C7B15"/>
    <w:rsid w:val="003C7DAE"/>
    <w:rsid w:val="003C7F87"/>
    <w:rsid w:val="003C7FC2"/>
    <w:rsid w:val="003D000D"/>
    <w:rsid w:val="003D006D"/>
    <w:rsid w:val="003D033A"/>
    <w:rsid w:val="003D051B"/>
    <w:rsid w:val="003D0A61"/>
    <w:rsid w:val="003D0FB8"/>
    <w:rsid w:val="003D1616"/>
    <w:rsid w:val="003D16EF"/>
    <w:rsid w:val="003D2023"/>
    <w:rsid w:val="003D21E7"/>
    <w:rsid w:val="003D23FD"/>
    <w:rsid w:val="003D2477"/>
    <w:rsid w:val="003D2826"/>
    <w:rsid w:val="003D2915"/>
    <w:rsid w:val="003D298E"/>
    <w:rsid w:val="003D2E40"/>
    <w:rsid w:val="003D2ECA"/>
    <w:rsid w:val="003D3467"/>
    <w:rsid w:val="003D3668"/>
    <w:rsid w:val="003D3A89"/>
    <w:rsid w:val="003D3AF3"/>
    <w:rsid w:val="003D42F1"/>
    <w:rsid w:val="003D4486"/>
    <w:rsid w:val="003D4D1D"/>
    <w:rsid w:val="003D4EDC"/>
    <w:rsid w:val="003D4FF9"/>
    <w:rsid w:val="003D507F"/>
    <w:rsid w:val="003D5530"/>
    <w:rsid w:val="003D560C"/>
    <w:rsid w:val="003D5961"/>
    <w:rsid w:val="003D5A56"/>
    <w:rsid w:val="003D5CE8"/>
    <w:rsid w:val="003D5E09"/>
    <w:rsid w:val="003D64A6"/>
    <w:rsid w:val="003D6C63"/>
    <w:rsid w:val="003D6D36"/>
    <w:rsid w:val="003D6ED6"/>
    <w:rsid w:val="003D751B"/>
    <w:rsid w:val="003D76E5"/>
    <w:rsid w:val="003D781E"/>
    <w:rsid w:val="003D7A02"/>
    <w:rsid w:val="003D7C32"/>
    <w:rsid w:val="003D7C90"/>
    <w:rsid w:val="003E06F6"/>
    <w:rsid w:val="003E079F"/>
    <w:rsid w:val="003E097D"/>
    <w:rsid w:val="003E0FBF"/>
    <w:rsid w:val="003E10D0"/>
    <w:rsid w:val="003E1131"/>
    <w:rsid w:val="003E137F"/>
    <w:rsid w:val="003E14C9"/>
    <w:rsid w:val="003E18C3"/>
    <w:rsid w:val="003E26ED"/>
    <w:rsid w:val="003E2A10"/>
    <w:rsid w:val="003E2D28"/>
    <w:rsid w:val="003E2FF0"/>
    <w:rsid w:val="003E337B"/>
    <w:rsid w:val="003E3AB7"/>
    <w:rsid w:val="003E4872"/>
    <w:rsid w:val="003E4923"/>
    <w:rsid w:val="003E4D74"/>
    <w:rsid w:val="003E51A4"/>
    <w:rsid w:val="003E5319"/>
    <w:rsid w:val="003E58C2"/>
    <w:rsid w:val="003E5916"/>
    <w:rsid w:val="003E5A76"/>
    <w:rsid w:val="003E6376"/>
    <w:rsid w:val="003E6687"/>
    <w:rsid w:val="003E6B27"/>
    <w:rsid w:val="003E6B9D"/>
    <w:rsid w:val="003E72B1"/>
    <w:rsid w:val="003E764F"/>
    <w:rsid w:val="003E7A12"/>
    <w:rsid w:val="003E7DC6"/>
    <w:rsid w:val="003F00DF"/>
    <w:rsid w:val="003F02CB"/>
    <w:rsid w:val="003F0522"/>
    <w:rsid w:val="003F0FD9"/>
    <w:rsid w:val="003F12EC"/>
    <w:rsid w:val="003F14FD"/>
    <w:rsid w:val="003F172A"/>
    <w:rsid w:val="003F1C3D"/>
    <w:rsid w:val="003F1FDA"/>
    <w:rsid w:val="003F23D3"/>
    <w:rsid w:val="003F25E9"/>
    <w:rsid w:val="003F2602"/>
    <w:rsid w:val="003F2678"/>
    <w:rsid w:val="003F2797"/>
    <w:rsid w:val="003F2FAE"/>
    <w:rsid w:val="003F33C3"/>
    <w:rsid w:val="003F37AB"/>
    <w:rsid w:val="003F387F"/>
    <w:rsid w:val="003F3ABA"/>
    <w:rsid w:val="003F3E96"/>
    <w:rsid w:val="003F452D"/>
    <w:rsid w:val="003F45D6"/>
    <w:rsid w:val="003F4BFE"/>
    <w:rsid w:val="003F4F25"/>
    <w:rsid w:val="003F5BE6"/>
    <w:rsid w:val="003F60FD"/>
    <w:rsid w:val="003F6D16"/>
    <w:rsid w:val="003F6D25"/>
    <w:rsid w:val="003F6F5A"/>
    <w:rsid w:val="003F7603"/>
    <w:rsid w:val="003F788F"/>
    <w:rsid w:val="003F797D"/>
    <w:rsid w:val="003F7A45"/>
    <w:rsid w:val="0040000C"/>
    <w:rsid w:val="004001E8"/>
    <w:rsid w:val="00400302"/>
    <w:rsid w:val="004009D9"/>
    <w:rsid w:val="00400F52"/>
    <w:rsid w:val="00401764"/>
    <w:rsid w:val="0040189C"/>
    <w:rsid w:val="00401C21"/>
    <w:rsid w:val="00402A89"/>
    <w:rsid w:val="00403293"/>
    <w:rsid w:val="0040338B"/>
    <w:rsid w:val="004035DD"/>
    <w:rsid w:val="004038B3"/>
    <w:rsid w:val="0040398A"/>
    <w:rsid w:val="00403CA0"/>
    <w:rsid w:val="00403E2F"/>
    <w:rsid w:val="00404BDC"/>
    <w:rsid w:val="00404D7B"/>
    <w:rsid w:val="00404E4D"/>
    <w:rsid w:val="00405871"/>
    <w:rsid w:val="00405CD9"/>
    <w:rsid w:val="0040653F"/>
    <w:rsid w:val="00406651"/>
    <w:rsid w:val="00406703"/>
    <w:rsid w:val="00406B25"/>
    <w:rsid w:val="00406BCD"/>
    <w:rsid w:val="0040736D"/>
    <w:rsid w:val="00407382"/>
    <w:rsid w:val="0040745B"/>
    <w:rsid w:val="0040758D"/>
    <w:rsid w:val="00407E97"/>
    <w:rsid w:val="00410065"/>
    <w:rsid w:val="00411FC4"/>
    <w:rsid w:val="0041234E"/>
    <w:rsid w:val="0041253D"/>
    <w:rsid w:val="00412813"/>
    <w:rsid w:val="004129C0"/>
    <w:rsid w:val="00412EE0"/>
    <w:rsid w:val="0041338E"/>
    <w:rsid w:val="004133C3"/>
    <w:rsid w:val="00413660"/>
    <w:rsid w:val="004137F1"/>
    <w:rsid w:val="0041384B"/>
    <w:rsid w:val="004138A4"/>
    <w:rsid w:val="00414055"/>
    <w:rsid w:val="004143E8"/>
    <w:rsid w:val="004144CF"/>
    <w:rsid w:val="0041463A"/>
    <w:rsid w:val="0041476E"/>
    <w:rsid w:val="00414823"/>
    <w:rsid w:val="004152CD"/>
    <w:rsid w:val="0041555C"/>
    <w:rsid w:val="00415A63"/>
    <w:rsid w:val="00415AC4"/>
    <w:rsid w:val="00415ED1"/>
    <w:rsid w:val="0041620C"/>
    <w:rsid w:val="00416BBD"/>
    <w:rsid w:val="00416C06"/>
    <w:rsid w:val="00416C36"/>
    <w:rsid w:val="004172A8"/>
    <w:rsid w:val="0041733C"/>
    <w:rsid w:val="0041772B"/>
    <w:rsid w:val="004179DB"/>
    <w:rsid w:val="004179EA"/>
    <w:rsid w:val="00417D4E"/>
    <w:rsid w:val="004200C3"/>
    <w:rsid w:val="00420212"/>
    <w:rsid w:val="00420865"/>
    <w:rsid w:val="00420A55"/>
    <w:rsid w:val="00420A5C"/>
    <w:rsid w:val="00420E60"/>
    <w:rsid w:val="0042178F"/>
    <w:rsid w:val="0042190C"/>
    <w:rsid w:val="004219A7"/>
    <w:rsid w:val="00422049"/>
    <w:rsid w:val="00422232"/>
    <w:rsid w:val="0042226E"/>
    <w:rsid w:val="004222F3"/>
    <w:rsid w:val="00423192"/>
    <w:rsid w:val="00423816"/>
    <w:rsid w:val="00423B70"/>
    <w:rsid w:val="00423BE9"/>
    <w:rsid w:val="00423D75"/>
    <w:rsid w:val="0042453A"/>
    <w:rsid w:val="0042465E"/>
    <w:rsid w:val="00424683"/>
    <w:rsid w:val="004246C9"/>
    <w:rsid w:val="00424B98"/>
    <w:rsid w:val="00424B9C"/>
    <w:rsid w:val="00425006"/>
    <w:rsid w:val="004255E5"/>
    <w:rsid w:val="00425DEC"/>
    <w:rsid w:val="004263BC"/>
    <w:rsid w:val="004270FE"/>
    <w:rsid w:val="0042793F"/>
    <w:rsid w:val="00427D7C"/>
    <w:rsid w:val="00430378"/>
    <w:rsid w:val="00430858"/>
    <w:rsid w:val="00430BD9"/>
    <w:rsid w:val="0043106B"/>
    <w:rsid w:val="0043119A"/>
    <w:rsid w:val="004312B6"/>
    <w:rsid w:val="0043178A"/>
    <w:rsid w:val="004317C7"/>
    <w:rsid w:val="00431A22"/>
    <w:rsid w:val="0043230A"/>
    <w:rsid w:val="0043233C"/>
    <w:rsid w:val="00432422"/>
    <w:rsid w:val="004324FB"/>
    <w:rsid w:val="00432B97"/>
    <w:rsid w:val="004336E6"/>
    <w:rsid w:val="004337C6"/>
    <w:rsid w:val="0043393D"/>
    <w:rsid w:val="00433D25"/>
    <w:rsid w:val="00433D3E"/>
    <w:rsid w:val="00433F16"/>
    <w:rsid w:val="00434140"/>
    <w:rsid w:val="00434275"/>
    <w:rsid w:val="004346A9"/>
    <w:rsid w:val="00434904"/>
    <w:rsid w:val="00434B5B"/>
    <w:rsid w:val="00434B6E"/>
    <w:rsid w:val="00434EAB"/>
    <w:rsid w:val="00435761"/>
    <w:rsid w:val="00435AD6"/>
    <w:rsid w:val="004362B0"/>
    <w:rsid w:val="00436464"/>
    <w:rsid w:val="0043651B"/>
    <w:rsid w:val="004367C1"/>
    <w:rsid w:val="00436EBA"/>
    <w:rsid w:val="00436F1D"/>
    <w:rsid w:val="00436F32"/>
    <w:rsid w:val="00436F50"/>
    <w:rsid w:val="004373A2"/>
    <w:rsid w:val="0043769C"/>
    <w:rsid w:val="004376DB"/>
    <w:rsid w:val="004376EE"/>
    <w:rsid w:val="00437764"/>
    <w:rsid w:val="00437925"/>
    <w:rsid w:val="00437AA7"/>
    <w:rsid w:val="00437ABF"/>
    <w:rsid w:val="00437E05"/>
    <w:rsid w:val="00440608"/>
    <w:rsid w:val="004406EE"/>
    <w:rsid w:val="00440855"/>
    <w:rsid w:val="00440F2E"/>
    <w:rsid w:val="00441251"/>
    <w:rsid w:val="00441324"/>
    <w:rsid w:val="004413AD"/>
    <w:rsid w:val="004414B8"/>
    <w:rsid w:val="0044178A"/>
    <w:rsid w:val="004418A6"/>
    <w:rsid w:val="00441A2F"/>
    <w:rsid w:val="00441F70"/>
    <w:rsid w:val="004426B8"/>
    <w:rsid w:val="004428CE"/>
    <w:rsid w:val="00442EC7"/>
    <w:rsid w:val="00442F62"/>
    <w:rsid w:val="00443120"/>
    <w:rsid w:val="00443D7E"/>
    <w:rsid w:val="00443E53"/>
    <w:rsid w:val="00443E6D"/>
    <w:rsid w:val="0044411D"/>
    <w:rsid w:val="004442B5"/>
    <w:rsid w:val="00444A3B"/>
    <w:rsid w:val="00444C15"/>
    <w:rsid w:val="00444DE6"/>
    <w:rsid w:val="00444FE2"/>
    <w:rsid w:val="00445828"/>
    <w:rsid w:val="00445954"/>
    <w:rsid w:val="00445DC2"/>
    <w:rsid w:val="00445F43"/>
    <w:rsid w:val="004467D3"/>
    <w:rsid w:val="00446B0F"/>
    <w:rsid w:val="00446DC5"/>
    <w:rsid w:val="00446E09"/>
    <w:rsid w:val="00446EBD"/>
    <w:rsid w:val="00447030"/>
    <w:rsid w:val="00447884"/>
    <w:rsid w:val="00447B74"/>
    <w:rsid w:val="00447E6B"/>
    <w:rsid w:val="00447EB2"/>
    <w:rsid w:val="00447F8E"/>
    <w:rsid w:val="00450AEA"/>
    <w:rsid w:val="00450FDD"/>
    <w:rsid w:val="0045175C"/>
    <w:rsid w:val="00451C3D"/>
    <w:rsid w:val="00452298"/>
    <w:rsid w:val="004526DA"/>
    <w:rsid w:val="00452C33"/>
    <w:rsid w:val="00452C7B"/>
    <w:rsid w:val="00452CD6"/>
    <w:rsid w:val="0045334B"/>
    <w:rsid w:val="0045456C"/>
    <w:rsid w:val="004545B7"/>
    <w:rsid w:val="00454FF5"/>
    <w:rsid w:val="004551A9"/>
    <w:rsid w:val="0045595B"/>
    <w:rsid w:val="004559AE"/>
    <w:rsid w:val="00455D79"/>
    <w:rsid w:val="00455F0E"/>
    <w:rsid w:val="00456453"/>
    <w:rsid w:val="00456B6B"/>
    <w:rsid w:val="00456BE5"/>
    <w:rsid w:val="00456DFE"/>
    <w:rsid w:val="004573E5"/>
    <w:rsid w:val="00457544"/>
    <w:rsid w:val="00457999"/>
    <w:rsid w:val="00457A73"/>
    <w:rsid w:val="00457E4A"/>
    <w:rsid w:val="00457F43"/>
    <w:rsid w:val="00460642"/>
    <w:rsid w:val="00460A31"/>
    <w:rsid w:val="00460B3B"/>
    <w:rsid w:val="00460B68"/>
    <w:rsid w:val="00461CC8"/>
    <w:rsid w:val="00462038"/>
    <w:rsid w:val="0046286D"/>
    <w:rsid w:val="004629AB"/>
    <w:rsid w:val="00463171"/>
    <w:rsid w:val="004633E0"/>
    <w:rsid w:val="0046387D"/>
    <w:rsid w:val="004638DB"/>
    <w:rsid w:val="004642B4"/>
    <w:rsid w:val="0046486E"/>
    <w:rsid w:val="00464A42"/>
    <w:rsid w:val="00464CAE"/>
    <w:rsid w:val="00464E42"/>
    <w:rsid w:val="0046502C"/>
    <w:rsid w:val="004650E4"/>
    <w:rsid w:val="004655C6"/>
    <w:rsid w:val="00465634"/>
    <w:rsid w:val="004656BF"/>
    <w:rsid w:val="00465D17"/>
    <w:rsid w:val="004664DB"/>
    <w:rsid w:val="0046658D"/>
    <w:rsid w:val="00466FB5"/>
    <w:rsid w:val="004703E1"/>
    <w:rsid w:val="004709B2"/>
    <w:rsid w:val="00470BAF"/>
    <w:rsid w:val="00470C96"/>
    <w:rsid w:val="00470D00"/>
    <w:rsid w:val="00471B00"/>
    <w:rsid w:val="00472AE1"/>
    <w:rsid w:val="00472EA9"/>
    <w:rsid w:val="00473157"/>
    <w:rsid w:val="00473176"/>
    <w:rsid w:val="004734B6"/>
    <w:rsid w:val="004734C5"/>
    <w:rsid w:val="0047364B"/>
    <w:rsid w:val="0047374E"/>
    <w:rsid w:val="00473B3D"/>
    <w:rsid w:val="00473E7E"/>
    <w:rsid w:val="00473E90"/>
    <w:rsid w:val="00473EBB"/>
    <w:rsid w:val="004741F7"/>
    <w:rsid w:val="004742BB"/>
    <w:rsid w:val="004744DB"/>
    <w:rsid w:val="0047477B"/>
    <w:rsid w:val="0047497B"/>
    <w:rsid w:val="00474C6B"/>
    <w:rsid w:val="00475321"/>
    <w:rsid w:val="0047565B"/>
    <w:rsid w:val="0047634F"/>
    <w:rsid w:val="00476358"/>
    <w:rsid w:val="0047691B"/>
    <w:rsid w:val="00476B07"/>
    <w:rsid w:val="00476C35"/>
    <w:rsid w:val="00476FD3"/>
    <w:rsid w:val="00477808"/>
    <w:rsid w:val="004779D0"/>
    <w:rsid w:val="00477C19"/>
    <w:rsid w:val="00477DBB"/>
    <w:rsid w:val="004801E0"/>
    <w:rsid w:val="00480BB7"/>
    <w:rsid w:val="00480EE3"/>
    <w:rsid w:val="004812FB"/>
    <w:rsid w:val="004816CA"/>
    <w:rsid w:val="004817BE"/>
    <w:rsid w:val="00481E5F"/>
    <w:rsid w:val="00481E92"/>
    <w:rsid w:val="004826AF"/>
    <w:rsid w:val="0048272F"/>
    <w:rsid w:val="00482D54"/>
    <w:rsid w:val="00483271"/>
    <w:rsid w:val="004835C2"/>
    <w:rsid w:val="00483859"/>
    <w:rsid w:val="00483B46"/>
    <w:rsid w:val="00483D3B"/>
    <w:rsid w:val="004845F1"/>
    <w:rsid w:val="004850B3"/>
    <w:rsid w:val="004857E7"/>
    <w:rsid w:val="00486130"/>
    <w:rsid w:val="004865A8"/>
    <w:rsid w:val="00486ADC"/>
    <w:rsid w:val="00486B96"/>
    <w:rsid w:val="00486C58"/>
    <w:rsid w:val="0048777D"/>
    <w:rsid w:val="004879AF"/>
    <w:rsid w:val="00487D18"/>
    <w:rsid w:val="00490038"/>
    <w:rsid w:val="00490059"/>
    <w:rsid w:val="00490162"/>
    <w:rsid w:val="004904F7"/>
    <w:rsid w:val="00490A5D"/>
    <w:rsid w:val="00491030"/>
    <w:rsid w:val="004910AC"/>
    <w:rsid w:val="004914D8"/>
    <w:rsid w:val="004919E8"/>
    <w:rsid w:val="00491E18"/>
    <w:rsid w:val="00491F91"/>
    <w:rsid w:val="00491FF6"/>
    <w:rsid w:val="00492145"/>
    <w:rsid w:val="004928CE"/>
    <w:rsid w:val="00492A2F"/>
    <w:rsid w:val="00492BA1"/>
    <w:rsid w:val="00492D7E"/>
    <w:rsid w:val="00493540"/>
    <w:rsid w:val="00493607"/>
    <w:rsid w:val="004939E4"/>
    <w:rsid w:val="00493D36"/>
    <w:rsid w:val="00493E35"/>
    <w:rsid w:val="00494AD6"/>
    <w:rsid w:val="00495120"/>
    <w:rsid w:val="00495E67"/>
    <w:rsid w:val="004963F9"/>
    <w:rsid w:val="0049698A"/>
    <w:rsid w:val="00496B4E"/>
    <w:rsid w:val="00496DE2"/>
    <w:rsid w:val="00497448"/>
    <w:rsid w:val="004975AA"/>
    <w:rsid w:val="00497935"/>
    <w:rsid w:val="004A034A"/>
    <w:rsid w:val="004A0476"/>
    <w:rsid w:val="004A07D7"/>
    <w:rsid w:val="004A0A69"/>
    <w:rsid w:val="004A0F9E"/>
    <w:rsid w:val="004A10D4"/>
    <w:rsid w:val="004A1130"/>
    <w:rsid w:val="004A1219"/>
    <w:rsid w:val="004A1A77"/>
    <w:rsid w:val="004A1DAA"/>
    <w:rsid w:val="004A23D2"/>
    <w:rsid w:val="004A25A0"/>
    <w:rsid w:val="004A285D"/>
    <w:rsid w:val="004A2D1D"/>
    <w:rsid w:val="004A302B"/>
    <w:rsid w:val="004A3242"/>
    <w:rsid w:val="004A3838"/>
    <w:rsid w:val="004A4467"/>
    <w:rsid w:val="004A4957"/>
    <w:rsid w:val="004A5258"/>
    <w:rsid w:val="004A5467"/>
    <w:rsid w:val="004A5AE2"/>
    <w:rsid w:val="004A5BB1"/>
    <w:rsid w:val="004A5CB1"/>
    <w:rsid w:val="004A5E3E"/>
    <w:rsid w:val="004A5EAA"/>
    <w:rsid w:val="004A638D"/>
    <w:rsid w:val="004A64EC"/>
    <w:rsid w:val="004A695F"/>
    <w:rsid w:val="004A697B"/>
    <w:rsid w:val="004A6A35"/>
    <w:rsid w:val="004A6EA6"/>
    <w:rsid w:val="004A7550"/>
    <w:rsid w:val="004A7966"/>
    <w:rsid w:val="004A7A54"/>
    <w:rsid w:val="004B0239"/>
    <w:rsid w:val="004B0379"/>
    <w:rsid w:val="004B0A69"/>
    <w:rsid w:val="004B0D1E"/>
    <w:rsid w:val="004B0E2E"/>
    <w:rsid w:val="004B1604"/>
    <w:rsid w:val="004B1701"/>
    <w:rsid w:val="004B1804"/>
    <w:rsid w:val="004B18CC"/>
    <w:rsid w:val="004B2609"/>
    <w:rsid w:val="004B2722"/>
    <w:rsid w:val="004B2F3D"/>
    <w:rsid w:val="004B32A0"/>
    <w:rsid w:val="004B36C1"/>
    <w:rsid w:val="004B3A60"/>
    <w:rsid w:val="004B3FCD"/>
    <w:rsid w:val="004B4C62"/>
    <w:rsid w:val="004B4D15"/>
    <w:rsid w:val="004B5064"/>
    <w:rsid w:val="004B5078"/>
    <w:rsid w:val="004B5096"/>
    <w:rsid w:val="004B51DA"/>
    <w:rsid w:val="004B54EF"/>
    <w:rsid w:val="004B592E"/>
    <w:rsid w:val="004B5CE2"/>
    <w:rsid w:val="004B5DAC"/>
    <w:rsid w:val="004B6147"/>
    <w:rsid w:val="004B6184"/>
    <w:rsid w:val="004B6634"/>
    <w:rsid w:val="004B67BB"/>
    <w:rsid w:val="004B67F1"/>
    <w:rsid w:val="004B6812"/>
    <w:rsid w:val="004B7293"/>
    <w:rsid w:val="004B7DD1"/>
    <w:rsid w:val="004C0096"/>
    <w:rsid w:val="004C00A3"/>
    <w:rsid w:val="004C00F4"/>
    <w:rsid w:val="004C037B"/>
    <w:rsid w:val="004C082A"/>
    <w:rsid w:val="004C0830"/>
    <w:rsid w:val="004C085B"/>
    <w:rsid w:val="004C0BC3"/>
    <w:rsid w:val="004C0BDA"/>
    <w:rsid w:val="004C1472"/>
    <w:rsid w:val="004C165E"/>
    <w:rsid w:val="004C1BF9"/>
    <w:rsid w:val="004C1C3E"/>
    <w:rsid w:val="004C23BD"/>
    <w:rsid w:val="004C2498"/>
    <w:rsid w:val="004C331E"/>
    <w:rsid w:val="004C333F"/>
    <w:rsid w:val="004C33BC"/>
    <w:rsid w:val="004C3D19"/>
    <w:rsid w:val="004C3F18"/>
    <w:rsid w:val="004C3FC0"/>
    <w:rsid w:val="004C42C9"/>
    <w:rsid w:val="004C4D54"/>
    <w:rsid w:val="004C5B42"/>
    <w:rsid w:val="004C5ECB"/>
    <w:rsid w:val="004C6672"/>
    <w:rsid w:val="004C68B6"/>
    <w:rsid w:val="004C74F1"/>
    <w:rsid w:val="004D039F"/>
    <w:rsid w:val="004D04F6"/>
    <w:rsid w:val="004D0ED5"/>
    <w:rsid w:val="004D12A8"/>
    <w:rsid w:val="004D1906"/>
    <w:rsid w:val="004D1C16"/>
    <w:rsid w:val="004D203B"/>
    <w:rsid w:val="004D240F"/>
    <w:rsid w:val="004D2434"/>
    <w:rsid w:val="004D2710"/>
    <w:rsid w:val="004D29CC"/>
    <w:rsid w:val="004D2AB8"/>
    <w:rsid w:val="004D2D7A"/>
    <w:rsid w:val="004D3424"/>
    <w:rsid w:val="004D37B3"/>
    <w:rsid w:val="004D391B"/>
    <w:rsid w:val="004D3E11"/>
    <w:rsid w:val="004D4043"/>
    <w:rsid w:val="004D4304"/>
    <w:rsid w:val="004D470B"/>
    <w:rsid w:val="004D4CD1"/>
    <w:rsid w:val="004D4E73"/>
    <w:rsid w:val="004D503B"/>
    <w:rsid w:val="004D50AB"/>
    <w:rsid w:val="004D514C"/>
    <w:rsid w:val="004D524E"/>
    <w:rsid w:val="004D5266"/>
    <w:rsid w:val="004D54B7"/>
    <w:rsid w:val="004D60DF"/>
    <w:rsid w:val="004D6786"/>
    <w:rsid w:val="004D69E1"/>
    <w:rsid w:val="004D7869"/>
    <w:rsid w:val="004D7EE4"/>
    <w:rsid w:val="004E0137"/>
    <w:rsid w:val="004E11CF"/>
    <w:rsid w:val="004E121B"/>
    <w:rsid w:val="004E18E7"/>
    <w:rsid w:val="004E1E29"/>
    <w:rsid w:val="004E1ECE"/>
    <w:rsid w:val="004E1EF5"/>
    <w:rsid w:val="004E23F7"/>
    <w:rsid w:val="004E24D1"/>
    <w:rsid w:val="004E2A73"/>
    <w:rsid w:val="004E2B5D"/>
    <w:rsid w:val="004E3268"/>
    <w:rsid w:val="004E33F8"/>
    <w:rsid w:val="004E368A"/>
    <w:rsid w:val="004E3801"/>
    <w:rsid w:val="004E39C9"/>
    <w:rsid w:val="004E417F"/>
    <w:rsid w:val="004E41A1"/>
    <w:rsid w:val="004E4391"/>
    <w:rsid w:val="004E46F5"/>
    <w:rsid w:val="004E4CA8"/>
    <w:rsid w:val="004E4D78"/>
    <w:rsid w:val="004E4E20"/>
    <w:rsid w:val="004E500B"/>
    <w:rsid w:val="004E5153"/>
    <w:rsid w:val="004E5C65"/>
    <w:rsid w:val="004E687B"/>
    <w:rsid w:val="004E70F3"/>
    <w:rsid w:val="004E713A"/>
    <w:rsid w:val="004E7649"/>
    <w:rsid w:val="004E79EC"/>
    <w:rsid w:val="004E7AD7"/>
    <w:rsid w:val="004E7B2E"/>
    <w:rsid w:val="004E7BDD"/>
    <w:rsid w:val="004F01D5"/>
    <w:rsid w:val="004F0439"/>
    <w:rsid w:val="004F0738"/>
    <w:rsid w:val="004F0A17"/>
    <w:rsid w:val="004F115C"/>
    <w:rsid w:val="004F13A0"/>
    <w:rsid w:val="004F17D0"/>
    <w:rsid w:val="004F1BB6"/>
    <w:rsid w:val="004F2044"/>
    <w:rsid w:val="004F20DC"/>
    <w:rsid w:val="004F23BA"/>
    <w:rsid w:val="004F33A6"/>
    <w:rsid w:val="004F35B2"/>
    <w:rsid w:val="004F35D6"/>
    <w:rsid w:val="004F3982"/>
    <w:rsid w:val="004F3A47"/>
    <w:rsid w:val="004F3AE1"/>
    <w:rsid w:val="004F3C71"/>
    <w:rsid w:val="004F3CDC"/>
    <w:rsid w:val="004F4537"/>
    <w:rsid w:val="004F4797"/>
    <w:rsid w:val="004F5068"/>
    <w:rsid w:val="004F51E9"/>
    <w:rsid w:val="004F54F5"/>
    <w:rsid w:val="004F551A"/>
    <w:rsid w:val="004F5C06"/>
    <w:rsid w:val="004F5FCC"/>
    <w:rsid w:val="004F63CD"/>
    <w:rsid w:val="004F63D5"/>
    <w:rsid w:val="004F64E4"/>
    <w:rsid w:val="004F662E"/>
    <w:rsid w:val="004F6A3A"/>
    <w:rsid w:val="004F6D13"/>
    <w:rsid w:val="004F6D20"/>
    <w:rsid w:val="004F6E61"/>
    <w:rsid w:val="004F71AC"/>
    <w:rsid w:val="004F75B7"/>
    <w:rsid w:val="004F783D"/>
    <w:rsid w:val="004F798E"/>
    <w:rsid w:val="005004E2"/>
    <w:rsid w:val="005009D1"/>
    <w:rsid w:val="005012E6"/>
    <w:rsid w:val="00501B88"/>
    <w:rsid w:val="0050246A"/>
    <w:rsid w:val="005025AD"/>
    <w:rsid w:val="005029B4"/>
    <w:rsid w:val="005033B1"/>
    <w:rsid w:val="0050348C"/>
    <w:rsid w:val="005039C8"/>
    <w:rsid w:val="00503A7E"/>
    <w:rsid w:val="00503ADE"/>
    <w:rsid w:val="00503BA8"/>
    <w:rsid w:val="00504660"/>
    <w:rsid w:val="00504D6A"/>
    <w:rsid w:val="00505BCC"/>
    <w:rsid w:val="00505CD4"/>
    <w:rsid w:val="00506869"/>
    <w:rsid w:val="00506974"/>
    <w:rsid w:val="00506E52"/>
    <w:rsid w:val="005072C5"/>
    <w:rsid w:val="005078D1"/>
    <w:rsid w:val="00510003"/>
    <w:rsid w:val="00510174"/>
    <w:rsid w:val="005104D5"/>
    <w:rsid w:val="0051091F"/>
    <w:rsid w:val="00510AC0"/>
    <w:rsid w:val="00511028"/>
    <w:rsid w:val="0051115B"/>
    <w:rsid w:val="00511482"/>
    <w:rsid w:val="00511611"/>
    <w:rsid w:val="005117FB"/>
    <w:rsid w:val="00511A63"/>
    <w:rsid w:val="00511A77"/>
    <w:rsid w:val="00511AC5"/>
    <w:rsid w:val="00512305"/>
    <w:rsid w:val="00512844"/>
    <w:rsid w:val="00512B6C"/>
    <w:rsid w:val="00512C52"/>
    <w:rsid w:val="00512FFF"/>
    <w:rsid w:val="00513075"/>
    <w:rsid w:val="0051350B"/>
    <w:rsid w:val="00513592"/>
    <w:rsid w:val="00513851"/>
    <w:rsid w:val="00513D9B"/>
    <w:rsid w:val="00514152"/>
    <w:rsid w:val="0051436F"/>
    <w:rsid w:val="0051498D"/>
    <w:rsid w:val="00514D56"/>
    <w:rsid w:val="00514F71"/>
    <w:rsid w:val="005158B6"/>
    <w:rsid w:val="005158C0"/>
    <w:rsid w:val="005159D9"/>
    <w:rsid w:val="00515A24"/>
    <w:rsid w:val="00515DD3"/>
    <w:rsid w:val="00515E0B"/>
    <w:rsid w:val="00515ED5"/>
    <w:rsid w:val="00516523"/>
    <w:rsid w:val="005166CD"/>
    <w:rsid w:val="00516705"/>
    <w:rsid w:val="00516996"/>
    <w:rsid w:val="005169BC"/>
    <w:rsid w:val="00516B0E"/>
    <w:rsid w:val="00517A06"/>
    <w:rsid w:val="00517BD2"/>
    <w:rsid w:val="00517CD1"/>
    <w:rsid w:val="00517FA7"/>
    <w:rsid w:val="0052026F"/>
    <w:rsid w:val="005203C5"/>
    <w:rsid w:val="0052042A"/>
    <w:rsid w:val="00520AA1"/>
    <w:rsid w:val="005213EA"/>
    <w:rsid w:val="00521578"/>
    <w:rsid w:val="00521BA2"/>
    <w:rsid w:val="0052217F"/>
    <w:rsid w:val="00522204"/>
    <w:rsid w:val="0052237E"/>
    <w:rsid w:val="0052269D"/>
    <w:rsid w:val="00522E94"/>
    <w:rsid w:val="00522EEE"/>
    <w:rsid w:val="005231EC"/>
    <w:rsid w:val="005233DC"/>
    <w:rsid w:val="00523E4B"/>
    <w:rsid w:val="005241BC"/>
    <w:rsid w:val="00524468"/>
    <w:rsid w:val="00524EDE"/>
    <w:rsid w:val="0052534A"/>
    <w:rsid w:val="005255A6"/>
    <w:rsid w:val="005255B4"/>
    <w:rsid w:val="00526648"/>
    <w:rsid w:val="005266F3"/>
    <w:rsid w:val="0052770D"/>
    <w:rsid w:val="00527EBA"/>
    <w:rsid w:val="00527FDA"/>
    <w:rsid w:val="00530135"/>
    <w:rsid w:val="005302FC"/>
    <w:rsid w:val="00530B8F"/>
    <w:rsid w:val="005315C8"/>
    <w:rsid w:val="005315E4"/>
    <w:rsid w:val="005316DB"/>
    <w:rsid w:val="00531966"/>
    <w:rsid w:val="00532066"/>
    <w:rsid w:val="005321A2"/>
    <w:rsid w:val="0053222A"/>
    <w:rsid w:val="00532396"/>
    <w:rsid w:val="00532417"/>
    <w:rsid w:val="00532418"/>
    <w:rsid w:val="0053254C"/>
    <w:rsid w:val="00532933"/>
    <w:rsid w:val="00532A29"/>
    <w:rsid w:val="00532BC4"/>
    <w:rsid w:val="00533380"/>
    <w:rsid w:val="005337F7"/>
    <w:rsid w:val="00533A0B"/>
    <w:rsid w:val="00533C23"/>
    <w:rsid w:val="00533C90"/>
    <w:rsid w:val="00534950"/>
    <w:rsid w:val="00534A0C"/>
    <w:rsid w:val="00534B75"/>
    <w:rsid w:val="00534E2E"/>
    <w:rsid w:val="005351E4"/>
    <w:rsid w:val="00535465"/>
    <w:rsid w:val="005355A6"/>
    <w:rsid w:val="0053561B"/>
    <w:rsid w:val="00535AC6"/>
    <w:rsid w:val="00535BD2"/>
    <w:rsid w:val="00535FD3"/>
    <w:rsid w:val="005360FC"/>
    <w:rsid w:val="005363F4"/>
    <w:rsid w:val="00536F72"/>
    <w:rsid w:val="00537690"/>
    <w:rsid w:val="00537A6F"/>
    <w:rsid w:val="00537B0E"/>
    <w:rsid w:val="00537EFF"/>
    <w:rsid w:val="00540565"/>
    <w:rsid w:val="00540AA0"/>
    <w:rsid w:val="0054113C"/>
    <w:rsid w:val="0054195C"/>
    <w:rsid w:val="00541BCD"/>
    <w:rsid w:val="00541CAA"/>
    <w:rsid w:val="00542522"/>
    <w:rsid w:val="00542AA2"/>
    <w:rsid w:val="00542B06"/>
    <w:rsid w:val="00542B7D"/>
    <w:rsid w:val="00542BCC"/>
    <w:rsid w:val="00542E14"/>
    <w:rsid w:val="00542FA8"/>
    <w:rsid w:val="00543058"/>
    <w:rsid w:val="00543BA1"/>
    <w:rsid w:val="00543FFA"/>
    <w:rsid w:val="00544148"/>
    <w:rsid w:val="00544398"/>
    <w:rsid w:val="0054463A"/>
    <w:rsid w:val="00544845"/>
    <w:rsid w:val="005448C9"/>
    <w:rsid w:val="00544B14"/>
    <w:rsid w:val="0054518F"/>
    <w:rsid w:val="00545300"/>
    <w:rsid w:val="0054571A"/>
    <w:rsid w:val="005457D4"/>
    <w:rsid w:val="0054591C"/>
    <w:rsid w:val="00545B9B"/>
    <w:rsid w:val="00545CBC"/>
    <w:rsid w:val="00545DF4"/>
    <w:rsid w:val="00545FB6"/>
    <w:rsid w:val="005463A2"/>
    <w:rsid w:val="0054677C"/>
    <w:rsid w:val="005469A6"/>
    <w:rsid w:val="00546B77"/>
    <w:rsid w:val="00547AA9"/>
    <w:rsid w:val="00550112"/>
    <w:rsid w:val="0055100A"/>
    <w:rsid w:val="005516B3"/>
    <w:rsid w:val="00551800"/>
    <w:rsid w:val="00551AE2"/>
    <w:rsid w:val="00551B81"/>
    <w:rsid w:val="00551C02"/>
    <w:rsid w:val="00551C21"/>
    <w:rsid w:val="0055250F"/>
    <w:rsid w:val="00552BF6"/>
    <w:rsid w:val="005534FA"/>
    <w:rsid w:val="00553CA4"/>
    <w:rsid w:val="00554897"/>
    <w:rsid w:val="005550CA"/>
    <w:rsid w:val="0055522B"/>
    <w:rsid w:val="00555785"/>
    <w:rsid w:val="00555BDF"/>
    <w:rsid w:val="00555D4A"/>
    <w:rsid w:val="00555FBA"/>
    <w:rsid w:val="00556368"/>
    <w:rsid w:val="0055742C"/>
    <w:rsid w:val="00557471"/>
    <w:rsid w:val="005578D0"/>
    <w:rsid w:val="00557AA6"/>
    <w:rsid w:val="00560BA8"/>
    <w:rsid w:val="005610E1"/>
    <w:rsid w:val="005618E0"/>
    <w:rsid w:val="005619AA"/>
    <w:rsid w:val="00561B6E"/>
    <w:rsid w:val="00562394"/>
    <w:rsid w:val="00562BE1"/>
    <w:rsid w:val="00563106"/>
    <w:rsid w:val="00563255"/>
    <w:rsid w:val="00563563"/>
    <w:rsid w:val="005635AA"/>
    <w:rsid w:val="00563762"/>
    <w:rsid w:val="00563C9E"/>
    <w:rsid w:val="005640B5"/>
    <w:rsid w:val="005644F1"/>
    <w:rsid w:val="0056462D"/>
    <w:rsid w:val="00564A38"/>
    <w:rsid w:val="00564B47"/>
    <w:rsid w:val="00564B73"/>
    <w:rsid w:val="00564E65"/>
    <w:rsid w:val="00564E90"/>
    <w:rsid w:val="00564F88"/>
    <w:rsid w:val="00565212"/>
    <w:rsid w:val="005652AF"/>
    <w:rsid w:val="005652C6"/>
    <w:rsid w:val="00565929"/>
    <w:rsid w:val="00565A41"/>
    <w:rsid w:val="00565AF7"/>
    <w:rsid w:val="00565E5B"/>
    <w:rsid w:val="00565E87"/>
    <w:rsid w:val="00566273"/>
    <w:rsid w:val="005662BC"/>
    <w:rsid w:val="005665DB"/>
    <w:rsid w:val="00566A09"/>
    <w:rsid w:val="00566A47"/>
    <w:rsid w:val="00566ACF"/>
    <w:rsid w:val="00566AE8"/>
    <w:rsid w:val="00566DA7"/>
    <w:rsid w:val="0057069F"/>
    <w:rsid w:val="00570776"/>
    <w:rsid w:val="00570FAD"/>
    <w:rsid w:val="00570FE4"/>
    <w:rsid w:val="005710C7"/>
    <w:rsid w:val="00571B29"/>
    <w:rsid w:val="00571E28"/>
    <w:rsid w:val="005726DA"/>
    <w:rsid w:val="0057277D"/>
    <w:rsid w:val="00572ACB"/>
    <w:rsid w:val="00572CEF"/>
    <w:rsid w:val="00572E2C"/>
    <w:rsid w:val="00573117"/>
    <w:rsid w:val="0057350C"/>
    <w:rsid w:val="00573BD3"/>
    <w:rsid w:val="00573D00"/>
    <w:rsid w:val="00573E67"/>
    <w:rsid w:val="00573F30"/>
    <w:rsid w:val="00574AA0"/>
    <w:rsid w:val="00574FCC"/>
    <w:rsid w:val="00575587"/>
    <w:rsid w:val="00575AAB"/>
    <w:rsid w:val="005769B5"/>
    <w:rsid w:val="00576CC9"/>
    <w:rsid w:val="00577116"/>
    <w:rsid w:val="00577515"/>
    <w:rsid w:val="005775E2"/>
    <w:rsid w:val="00577816"/>
    <w:rsid w:val="00577A1C"/>
    <w:rsid w:val="00577B64"/>
    <w:rsid w:val="005800B7"/>
    <w:rsid w:val="005802D0"/>
    <w:rsid w:val="005804DF"/>
    <w:rsid w:val="005807D8"/>
    <w:rsid w:val="00580CE8"/>
    <w:rsid w:val="00580D6B"/>
    <w:rsid w:val="00581383"/>
    <w:rsid w:val="00581737"/>
    <w:rsid w:val="00581C48"/>
    <w:rsid w:val="00581FC5"/>
    <w:rsid w:val="005820A6"/>
    <w:rsid w:val="0058212D"/>
    <w:rsid w:val="00582229"/>
    <w:rsid w:val="005822C5"/>
    <w:rsid w:val="00582516"/>
    <w:rsid w:val="00582C63"/>
    <w:rsid w:val="0058361C"/>
    <w:rsid w:val="00583778"/>
    <w:rsid w:val="0058383C"/>
    <w:rsid w:val="005838B8"/>
    <w:rsid w:val="0058391D"/>
    <w:rsid w:val="0058398E"/>
    <w:rsid w:val="00583C90"/>
    <w:rsid w:val="00584505"/>
    <w:rsid w:val="00584604"/>
    <w:rsid w:val="005846A8"/>
    <w:rsid w:val="005847E6"/>
    <w:rsid w:val="00584806"/>
    <w:rsid w:val="00584831"/>
    <w:rsid w:val="00584A09"/>
    <w:rsid w:val="00584A21"/>
    <w:rsid w:val="00584AB8"/>
    <w:rsid w:val="00584D83"/>
    <w:rsid w:val="005852EB"/>
    <w:rsid w:val="00585768"/>
    <w:rsid w:val="00585A42"/>
    <w:rsid w:val="00585F27"/>
    <w:rsid w:val="00586120"/>
    <w:rsid w:val="00586531"/>
    <w:rsid w:val="00586A0A"/>
    <w:rsid w:val="00586E21"/>
    <w:rsid w:val="00586EA5"/>
    <w:rsid w:val="00586F35"/>
    <w:rsid w:val="0058704D"/>
    <w:rsid w:val="00587325"/>
    <w:rsid w:val="00587430"/>
    <w:rsid w:val="0058746A"/>
    <w:rsid w:val="005874A3"/>
    <w:rsid w:val="005879E2"/>
    <w:rsid w:val="00587C9D"/>
    <w:rsid w:val="00587D7C"/>
    <w:rsid w:val="00587DC2"/>
    <w:rsid w:val="00590176"/>
    <w:rsid w:val="00590567"/>
    <w:rsid w:val="00590750"/>
    <w:rsid w:val="00590BDF"/>
    <w:rsid w:val="00590F26"/>
    <w:rsid w:val="005913B3"/>
    <w:rsid w:val="00591656"/>
    <w:rsid w:val="00592157"/>
    <w:rsid w:val="005929EA"/>
    <w:rsid w:val="005929EC"/>
    <w:rsid w:val="00592CF7"/>
    <w:rsid w:val="00592EB2"/>
    <w:rsid w:val="00592F94"/>
    <w:rsid w:val="005934AC"/>
    <w:rsid w:val="0059365F"/>
    <w:rsid w:val="00593788"/>
    <w:rsid w:val="0059391A"/>
    <w:rsid w:val="00593A5A"/>
    <w:rsid w:val="00593C45"/>
    <w:rsid w:val="0059453A"/>
    <w:rsid w:val="00594AE8"/>
    <w:rsid w:val="00594B4B"/>
    <w:rsid w:val="00594BDC"/>
    <w:rsid w:val="005953E3"/>
    <w:rsid w:val="0059564B"/>
    <w:rsid w:val="005956AF"/>
    <w:rsid w:val="00595C9E"/>
    <w:rsid w:val="005960EF"/>
    <w:rsid w:val="005961D5"/>
    <w:rsid w:val="005962B7"/>
    <w:rsid w:val="00596420"/>
    <w:rsid w:val="005969C4"/>
    <w:rsid w:val="005969EC"/>
    <w:rsid w:val="005972A7"/>
    <w:rsid w:val="00597639"/>
    <w:rsid w:val="0059772F"/>
    <w:rsid w:val="00597DBA"/>
    <w:rsid w:val="005A02B1"/>
    <w:rsid w:val="005A057F"/>
    <w:rsid w:val="005A059E"/>
    <w:rsid w:val="005A05B4"/>
    <w:rsid w:val="005A06B0"/>
    <w:rsid w:val="005A08D3"/>
    <w:rsid w:val="005A0A58"/>
    <w:rsid w:val="005A0C38"/>
    <w:rsid w:val="005A0F4F"/>
    <w:rsid w:val="005A0FCF"/>
    <w:rsid w:val="005A183D"/>
    <w:rsid w:val="005A1A1F"/>
    <w:rsid w:val="005A1AF5"/>
    <w:rsid w:val="005A1D6F"/>
    <w:rsid w:val="005A242A"/>
    <w:rsid w:val="005A26CC"/>
    <w:rsid w:val="005A2B28"/>
    <w:rsid w:val="005A31F6"/>
    <w:rsid w:val="005A39B7"/>
    <w:rsid w:val="005A3AAC"/>
    <w:rsid w:val="005A4ACE"/>
    <w:rsid w:val="005A4E51"/>
    <w:rsid w:val="005A4FD2"/>
    <w:rsid w:val="005A5104"/>
    <w:rsid w:val="005A52C4"/>
    <w:rsid w:val="005A5975"/>
    <w:rsid w:val="005A59E3"/>
    <w:rsid w:val="005A663A"/>
    <w:rsid w:val="005A69B8"/>
    <w:rsid w:val="005A6B60"/>
    <w:rsid w:val="005A6DB1"/>
    <w:rsid w:val="005A729F"/>
    <w:rsid w:val="005A7396"/>
    <w:rsid w:val="005A73F3"/>
    <w:rsid w:val="005A7824"/>
    <w:rsid w:val="005A7E09"/>
    <w:rsid w:val="005A7F44"/>
    <w:rsid w:val="005B08FF"/>
    <w:rsid w:val="005B0F65"/>
    <w:rsid w:val="005B1334"/>
    <w:rsid w:val="005B19CD"/>
    <w:rsid w:val="005B2C14"/>
    <w:rsid w:val="005B2C54"/>
    <w:rsid w:val="005B3B48"/>
    <w:rsid w:val="005B4580"/>
    <w:rsid w:val="005B489D"/>
    <w:rsid w:val="005B4A6E"/>
    <w:rsid w:val="005B4C2D"/>
    <w:rsid w:val="005B5739"/>
    <w:rsid w:val="005B5791"/>
    <w:rsid w:val="005B6005"/>
    <w:rsid w:val="005B6213"/>
    <w:rsid w:val="005B62F3"/>
    <w:rsid w:val="005B7047"/>
    <w:rsid w:val="005B711D"/>
    <w:rsid w:val="005B7276"/>
    <w:rsid w:val="005B785B"/>
    <w:rsid w:val="005B7BD0"/>
    <w:rsid w:val="005B7BEE"/>
    <w:rsid w:val="005B7D6D"/>
    <w:rsid w:val="005C0072"/>
    <w:rsid w:val="005C009B"/>
    <w:rsid w:val="005C01D9"/>
    <w:rsid w:val="005C0ACF"/>
    <w:rsid w:val="005C0C7B"/>
    <w:rsid w:val="005C0D5D"/>
    <w:rsid w:val="005C118D"/>
    <w:rsid w:val="005C126B"/>
    <w:rsid w:val="005C18B8"/>
    <w:rsid w:val="005C1B14"/>
    <w:rsid w:val="005C1F09"/>
    <w:rsid w:val="005C216F"/>
    <w:rsid w:val="005C244F"/>
    <w:rsid w:val="005C2625"/>
    <w:rsid w:val="005C26BE"/>
    <w:rsid w:val="005C29F5"/>
    <w:rsid w:val="005C2E8B"/>
    <w:rsid w:val="005C3959"/>
    <w:rsid w:val="005C3ADC"/>
    <w:rsid w:val="005C4A8B"/>
    <w:rsid w:val="005C4D91"/>
    <w:rsid w:val="005C6246"/>
    <w:rsid w:val="005C6369"/>
    <w:rsid w:val="005C7170"/>
    <w:rsid w:val="005C743D"/>
    <w:rsid w:val="005D05B7"/>
    <w:rsid w:val="005D17FB"/>
    <w:rsid w:val="005D1956"/>
    <w:rsid w:val="005D1973"/>
    <w:rsid w:val="005D1E51"/>
    <w:rsid w:val="005D24BC"/>
    <w:rsid w:val="005D26BD"/>
    <w:rsid w:val="005D28C6"/>
    <w:rsid w:val="005D2D22"/>
    <w:rsid w:val="005D34C9"/>
    <w:rsid w:val="005D34D5"/>
    <w:rsid w:val="005D37C7"/>
    <w:rsid w:val="005D41AA"/>
    <w:rsid w:val="005D4771"/>
    <w:rsid w:val="005D47AD"/>
    <w:rsid w:val="005D47E4"/>
    <w:rsid w:val="005D485D"/>
    <w:rsid w:val="005D4955"/>
    <w:rsid w:val="005D4DAC"/>
    <w:rsid w:val="005D51CD"/>
    <w:rsid w:val="005D5337"/>
    <w:rsid w:val="005D53B1"/>
    <w:rsid w:val="005D53BB"/>
    <w:rsid w:val="005D562A"/>
    <w:rsid w:val="005D5685"/>
    <w:rsid w:val="005D5831"/>
    <w:rsid w:val="005D589A"/>
    <w:rsid w:val="005D5ADE"/>
    <w:rsid w:val="005D5DC7"/>
    <w:rsid w:val="005D60F5"/>
    <w:rsid w:val="005D6411"/>
    <w:rsid w:val="005D6595"/>
    <w:rsid w:val="005D68E0"/>
    <w:rsid w:val="005D6C85"/>
    <w:rsid w:val="005D6D4E"/>
    <w:rsid w:val="005D707A"/>
    <w:rsid w:val="005D7268"/>
    <w:rsid w:val="005D7480"/>
    <w:rsid w:val="005D7556"/>
    <w:rsid w:val="005D78D0"/>
    <w:rsid w:val="005D7CCD"/>
    <w:rsid w:val="005D7D5E"/>
    <w:rsid w:val="005E03A5"/>
    <w:rsid w:val="005E0545"/>
    <w:rsid w:val="005E0829"/>
    <w:rsid w:val="005E08C6"/>
    <w:rsid w:val="005E08F5"/>
    <w:rsid w:val="005E0CA4"/>
    <w:rsid w:val="005E10A1"/>
    <w:rsid w:val="005E1164"/>
    <w:rsid w:val="005E11A1"/>
    <w:rsid w:val="005E12A3"/>
    <w:rsid w:val="005E1625"/>
    <w:rsid w:val="005E18E3"/>
    <w:rsid w:val="005E20EE"/>
    <w:rsid w:val="005E29DC"/>
    <w:rsid w:val="005E2C13"/>
    <w:rsid w:val="005E2DA3"/>
    <w:rsid w:val="005E3316"/>
    <w:rsid w:val="005E33FF"/>
    <w:rsid w:val="005E3455"/>
    <w:rsid w:val="005E365F"/>
    <w:rsid w:val="005E3A8B"/>
    <w:rsid w:val="005E3D47"/>
    <w:rsid w:val="005E3D69"/>
    <w:rsid w:val="005E413B"/>
    <w:rsid w:val="005E4150"/>
    <w:rsid w:val="005E4453"/>
    <w:rsid w:val="005E45E4"/>
    <w:rsid w:val="005E473D"/>
    <w:rsid w:val="005E4916"/>
    <w:rsid w:val="005E50A7"/>
    <w:rsid w:val="005E50F0"/>
    <w:rsid w:val="005E653B"/>
    <w:rsid w:val="005E6D07"/>
    <w:rsid w:val="005E6F38"/>
    <w:rsid w:val="005E6F3B"/>
    <w:rsid w:val="005E7606"/>
    <w:rsid w:val="005E7E61"/>
    <w:rsid w:val="005E7F69"/>
    <w:rsid w:val="005F00AF"/>
    <w:rsid w:val="005F00B0"/>
    <w:rsid w:val="005F0960"/>
    <w:rsid w:val="005F0CB7"/>
    <w:rsid w:val="005F0EF2"/>
    <w:rsid w:val="005F1083"/>
    <w:rsid w:val="005F1784"/>
    <w:rsid w:val="005F17B1"/>
    <w:rsid w:val="005F2955"/>
    <w:rsid w:val="005F3115"/>
    <w:rsid w:val="005F31C7"/>
    <w:rsid w:val="005F3411"/>
    <w:rsid w:val="005F3517"/>
    <w:rsid w:val="005F3752"/>
    <w:rsid w:val="005F380F"/>
    <w:rsid w:val="005F40C3"/>
    <w:rsid w:val="005F4128"/>
    <w:rsid w:val="005F42F9"/>
    <w:rsid w:val="005F4347"/>
    <w:rsid w:val="005F435C"/>
    <w:rsid w:val="005F49A9"/>
    <w:rsid w:val="005F4ABE"/>
    <w:rsid w:val="005F4C78"/>
    <w:rsid w:val="005F4F1D"/>
    <w:rsid w:val="005F5735"/>
    <w:rsid w:val="005F5A1F"/>
    <w:rsid w:val="005F65BC"/>
    <w:rsid w:val="005F6645"/>
    <w:rsid w:val="005F67A3"/>
    <w:rsid w:val="005F6C8C"/>
    <w:rsid w:val="005F6CE5"/>
    <w:rsid w:val="005F6D92"/>
    <w:rsid w:val="005F7012"/>
    <w:rsid w:val="005F7017"/>
    <w:rsid w:val="005F7A87"/>
    <w:rsid w:val="005F7AD7"/>
    <w:rsid w:val="005F7DD2"/>
    <w:rsid w:val="006004F3"/>
    <w:rsid w:val="00600653"/>
    <w:rsid w:val="00600996"/>
    <w:rsid w:val="0060184C"/>
    <w:rsid w:val="00601E0D"/>
    <w:rsid w:val="006020F1"/>
    <w:rsid w:val="006022C7"/>
    <w:rsid w:val="00602778"/>
    <w:rsid w:val="00602D87"/>
    <w:rsid w:val="00602F91"/>
    <w:rsid w:val="00603232"/>
    <w:rsid w:val="006036B2"/>
    <w:rsid w:val="00603754"/>
    <w:rsid w:val="00603E5C"/>
    <w:rsid w:val="00603F06"/>
    <w:rsid w:val="0060439D"/>
    <w:rsid w:val="006043A8"/>
    <w:rsid w:val="00604BBE"/>
    <w:rsid w:val="0060605D"/>
    <w:rsid w:val="00606236"/>
    <w:rsid w:val="00606886"/>
    <w:rsid w:val="00606B99"/>
    <w:rsid w:val="00606CB7"/>
    <w:rsid w:val="00607705"/>
    <w:rsid w:val="00607B52"/>
    <w:rsid w:val="00607F14"/>
    <w:rsid w:val="006109BB"/>
    <w:rsid w:val="0061106D"/>
    <w:rsid w:val="0061109B"/>
    <w:rsid w:val="0061134E"/>
    <w:rsid w:val="006113BD"/>
    <w:rsid w:val="006113CC"/>
    <w:rsid w:val="006117B4"/>
    <w:rsid w:val="00611953"/>
    <w:rsid w:val="00611C90"/>
    <w:rsid w:val="00611F6C"/>
    <w:rsid w:val="00612578"/>
    <w:rsid w:val="0061258B"/>
    <w:rsid w:val="006127BF"/>
    <w:rsid w:val="006128F8"/>
    <w:rsid w:val="00612A80"/>
    <w:rsid w:val="00612F0B"/>
    <w:rsid w:val="006130A6"/>
    <w:rsid w:val="0061356B"/>
    <w:rsid w:val="006137F8"/>
    <w:rsid w:val="006137FE"/>
    <w:rsid w:val="0061394D"/>
    <w:rsid w:val="00613C48"/>
    <w:rsid w:val="00613E3B"/>
    <w:rsid w:val="00613F1E"/>
    <w:rsid w:val="00614695"/>
    <w:rsid w:val="00614A56"/>
    <w:rsid w:val="00614CC2"/>
    <w:rsid w:val="00615085"/>
    <w:rsid w:val="0061540E"/>
    <w:rsid w:val="00615C24"/>
    <w:rsid w:val="00615D1F"/>
    <w:rsid w:val="00616442"/>
    <w:rsid w:val="006164D9"/>
    <w:rsid w:val="006164F3"/>
    <w:rsid w:val="00616661"/>
    <w:rsid w:val="00616747"/>
    <w:rsid w:val="00616BDB"/>
    <w:rsid w:val="00616C25"/>
    <w:rsid w:val="00616CE0"/>
    <w:rsid w:val="00616D73"/>
    <w:rsid w:val="00617728"/>
    <w:rsid w:val="006177F6"/>
    <w:rsid w:val="00617B24"/>
    <w:rsid w:val="00617D7E"/>
    <w:rsid w:val="00617F8D"/>
    <w:rsid w:val="0062124C"/>
    <w:rsid w:val="0062157E"/>
    <w:rsid w:val="006218CE"/>
    <w:rsid w:val="006219C5"/>
    <w:rsid w:val="00621AEC"/>
    <w:rsid w:val="00622144"/>
    <w:rsid w:val="006231ED"/>
    <w:rsid w:val="0062388A"/>
    <w:rsid w:val="006238CC"/>
    <w:rsid w:val="006243E7"/>
    <w:rsid w:val="006245CA"/>
    <w:rsid w:val="00624EEE"/>
    <w:rsid w:val="00624F7C"/>
    <w:rsid w:val="00625077"/>
    <w:rsid w:val="00625DC4"/>
    <w:rsid w:val="00626112"/>
    <w:rsid w:val="006262C6"/>
    <w:rsid w:val="0062643E"/>
    <w:rsid w:val="00626D56"/>
    <w:rsid w:val="00627100"/>
    <w:rsid w:val="00627384"/>
    <w:rsid w:val="006276AF"/>
    <w:rsid w:val="00627745"/>
    <w:rsid w:val="0062791F"/>
    <w:rsid w:val="00627B83"/>
    <w:rsid w:val="00627E57"/>
    <w:rsid w:val="00631C65"/>
    <w:rsid w:val="00631E20"/>
    <w:rsid w:val="00632604"/>
    <w:rsid w:val="00632A22"/>
    <w:rsid w:val="00632C95"/>
    <w:rsid w:val="006332A7"/>
    <w:rsid w:val="006336AF"/>
    <w:rsid w:val="00633874"/>
    <w:rsid w:val="00633889"/>
    <w:rsid w:val="006339D0"/>
    <w:rsid w:val="00633EAA"/>
    <w:rsid w:val="006340C6"/>
    <w:rsid w:val="006341ED"/>
    <w:rsid w:val="00634454"/>
    <w:rsid w:val="0063447D"/>
    <w:rsid w:val="00634937"/>
    <w:rsid w:val="00634D37"/>
    <w:rsid w:val="00635016"/>
    <w:rsid w:val="0063506E"/>
    <w:rsid w:val="0063573E"/>
    <w:rsid w:val="00636005"/>
    <w:rsid w:val="006360B8"/>
    <w:rsid w:val="006360F9"/>
    <w:rsid w:val="00636168"/>
    <w:rsid w:val="00636241"/>
    <w:rsid w:val="006362D3"/>
    <w:rsid w:val="00636812"/>
    <w:rsid w:val="00636BBD"/>
    <w:rsid w:val="0063767F"/>
    <w:rsid w:val="00637827"/>
    <w:rsid w:val="00637D54"/>
    <w:rsid w:val="00640005"/>
    <w:rsid w:val="00640498"/>
    <w:rsid w:val="006405D7"/>
    <w:rsid w:val="00640834"/>
    <w:rsid w:val="006416F0"/>
    <w:rsid w:val="00641707"/>
    <w:rsid w:val="00641B8D"/>
    <w:rsid w:val="00641BA2"/>
    <w:rsid w:val="00642092"/>
    <w:rsid w:val="00642153"/>
    <w:rsid w:val="006421AD"/>
    <w:rsid w:val="0064283F"/>
    <w:rsid w:val="00642A9B"/>
    <w:rsid w:val="00642D02"/>
    <w:rsid w:val="00642EB6"/>
    <w:rsid w:val="0064301A"/>
    <w:rsid w:val="006435FD"/>
    <w:rsid w:val="0064397F"/>
    <w:rsid w:val="00643AA2"/>
    <w:rsid w:val="00643BDB"/>
    <w:rsid w:val="00643DE7"/>
    <w:rsid w:val="00644900"/>
    <w:rsid w:val="006449E0"/>
    <w:rsid w:val="00644DFE"/>
    <w:rsid w:val="00644ED1"/>
    <w:rsid w:val="00645360"/>
    <w:rsid w:val="006455AE"/>
    <w:rsid w:val="006457D8"/>
    <w:rsid w:val="00645B7E"/>
    <w:rsid w:val="00645D22"/>
    <w:rsid w:val="00645D75"/>
    <w:rsid w:val="00645DBA"/>
    <w:rsid w:val="006461EB"/>
    <w:rsid w:val="006467A3"/>
    <w:rsid w:val="00646CCB"/>
    <w:rsid w:val="006471E1"/>
    <w:rsid w:val="0064734F"/>
    <w:rsid w:val="006475B9"/>
    <w:rsid w:val="00647C50"/>
    <w:rsid w:val="00647D2A"/>
    <w:rsid w:val="00647D74"/>
    <w:rsid w:val="006500A7"/>
    <w:rsid w:val="00650265"/>
    <w:rsid w:val="006503F5"/>
    <w:rsid w:val="006504E2"/>
    <w:rsid w:val="00650FEF"/>
    <w:rsid w:val="006511C7"/>
    <w:rsid w:val="006512F6"/>
    <w:rsid w:val="0065169A"/>
    <w:rsid w:val="006517D6"/>
    <w:rsid w:val="0065193C"/>
    <w:rsid w:val="00652167"/>
    <w:rsid w:val="00652396"/>
    <w:rsid w:val="00652DEF"/>
    <w:rsid w:val="00653332"/>
    <w:rsid w:val="00653422"/>
    <w:rsid w:val="00653476"/>
    <w:rsid w:val="006534CF"/>
    <w:rsid w:val="0065370B"/>
    <w:rsid w:val="00653EA6"/>
    <w:rsid w:val="0065404E"/>
    <w:rsid w:val="006540D0"/>
    <w:rsid w:val="006540FC"/>
    <w:rsid w:val="006544F2"/>
    <w:rsid w:val="00654D04"/>
    <w:rsid w:val="00655518"/>
    <w:rsid w:val="00655BCB"/>
    <w:rsid w:val="00655F5B"/>
    <w:rsid w:val="0065646A"/>
    <w:rsid w:val="006565CD"/>
    <w:rsid w:val="00656770"/>
    <w:rsid w:val="00656B4A"/>
    <w:rsid w:val="00656B78"/>
    <w:rsid w:val="00657024"/>
    <w:rsid w:val="006575CD"/>
    <w:rsid w:val="006578EA"/>
    <w:rsid w:val="00657AA5"/>
    <w:rsid w:val="00657B78"/>
    <w:rsid w:val="00657C90"/>
    <w:rsid w:val="0066003A"/>
    <w:rsid w:val="00660633"/>
    <w:rsid w:val="0066082F"/>
    <w:rsid w:val="006609D4"/>
    <w:rsid w:val="00660B05"/>
    <w:rsid w:val="00660E90"/>
    <w:rsid w:val="006611BE"/>
    <w:rsid w:val="00661248"/>
    <w:rsid w:val="00661277"/>
    <w:rsid w:val="00661D96"/>
    <w:rsid w:val="00661E48"/>
    <w:rsid w:val="00662122"/>
    <w:rsid w:val="006621A9"/>
    <w:rsid w:val="006628A0"/>
    <w:rsid w:val="00662E06"/>
    <w:rsid w:val="0066382F"/>
    <w:rsid w:val="006638A6"/>
    <w:rsid w:val="00663988"/>
    <w:rsid w:val="0066433A"/>
    <w:rsid w:val="00664451"/>
    <w:rsid w:val="006645CA"/>
    <w:rsid w:val="00664AEE"/>
    <w:rsid w:val="00664B59"/>
    <w:rsid w:val="00664BEE"/>
    <w:rsid w:val="00664CBC"/>
    <w:rsid w:val="00664D95"/>
    <w:rsid w:val="0066517F"/>
    <w:rsid w:val="00665353"/>
    <w:rsid w:val="00666221"/>
    <w:rsid w:val="006665C4"/>
    <w:rsid w:val="006666CE"/>
    <w:rsid w:val="006669DB"/>
    <w:rsid w:val="00666DA4"/>
    <w:rsid w:val="006671C9"/>
    <w:rsid w:val="0066761D"/>
    <w:rsid w:val="0066762D"/>
    <w:rsid w:val="00667634"/>
    <w:rsid w:val="00667C8A"/>
    <w:rsid w:val="00667ED5"/>
    <w:rsid w:val="00670501"/>
    <w:rsid w:val="00670855"/>
    <w:rsid w:val="00670B9E"/>
    <w:rsid w:val="00670BBD"/>
    <w:rsid w:val="00670BEE"/>
    <w:rsid w:val="00670D0F"/>
    <w:rsid w:val="00670DCE"/>
    <w:rsid w:val="00670F29"/>
    <w:rsid w:val="00670F9D"/>
    <w:rsid w:val="006716EC"/>
    <w:rsid w:val="00672825"/>
    <w:rsid w:val="0067295B"/>
    <w:rsid w:val="00672A42"/>
    <w:rsid w:val="00672B92"/>
    <w:rsid w:val="00672DD7"/>
    <w:rsid w:val="00673092"/>
    <w:rsid w:val="0067398F"/>
    <w:rsid w:val="00673C4F"/>
    <w:rsid w:val="0067423D"/>
    <w:rsid w:val="00674B54"/>
    <w:rsid w:val="006751ED"/>
    <w:rsid w:val="006751F0"/>
    <w:rsid w:val="00675A29"/>
    <w:rsid w:val="00675E7A"/>
    <w:rsid w:val="00675EF9"/>
    <w:rsid w:val="00676167"/>
    <w:rsid w:val="006762C1"/>
    <w:rsid w:val="006768A0"/>
    <w:rsid w:val="00676D1E"/>
    <w:rsid w:val="00676F7A"/>
    <w:rsid w:val="0067702C"/>
    <w:rsid w:val="00677172"/>
    <w:rsid w:val="00677637"/>
    <w:rsid w:val="00677F91"/>
    <w:rsid w:val="0068009E"/>
    <w:rsid w:val="0068014B"/>
    <w:rsid w:val="006807EC"/>
    <w:rsid w:val="00680991"/>
    <w:rsid w:val="00680E0A"/>
    <w:rsid w:val="00681108"/>
    <w:rsid w:val="00681688"/>
    <w:rsid w:val="00681D9D"/>
    <w:rsid w:val="0068227D"/>
    <w:rsid w:val="006822C1"/>
    <w:rsid w:val="00682346"/>
    <w:rsid w:val="006825BB"/>
    <w:rsid w:val="00682A3E"/>
    <w:rsid w:val="00682F54"/>
    <w:rsid w:val="00683084"/>
    <w:rsid w:val="0068336A"/>
    <w:rsid w:val="00683988"/>
    <w:rsid w:val="006839C4"/>
    <w:rsid w:val="0068414A"/>
    <w:rsid w:val="0068426D"/>
    <w:rsid w:val="0068481E"/>
    <w:rsid w:val="00684AA5"/>
    <w:rsid w:val="00684DA6"/>
    <w:rsid w:val="00684FBB"/>
    <w:rsid w:val="00685310"/>
    <w:rsid w:val="0068569E"/>
    <w:rsid w:val="00685B0A"/>
    <w:rsid w:val="00686A94"/>
    <w:rsid w:val="00686F3B"/>
    <w:rsid w:val="00687341"/>
    <w:rsid w:val="00687611"/>
    <w:rsid w:val="00687FB5"/>
    <w:rsid w:val="006902BA"/>
    <w:rsid w:val="006902EB"/>
    <w:rsid w:val="0069037C"/>
    <w:rsid w:val="00690EB0"/>
    <w:rsid w:val="006910C3"/>
    <w:rsid w:val="00691133"/>
    <w:rsid w:val="00691AD0"/>
    <w:rsid w:val="00691BCD"/>
    <w:rsid w:val="00691D8B"/>
    <w:rsid w:val="0069207C"/>
    <w:rsid w:val="00692305"/>
    <w:rsid w:val="006928BA"/>
    <w:rsid w:val="006929A8"/>
    <w:rsid w:val="00692C58"/>
    <w:rsid w:val="0069313E"/>
    <w:rsid w:val="00693C16"/>
    <w:rsid w:val="006941C5"/>
    <w:rsid w:val="006943A3"/>
    <w:rsid w:val="0069492A"/>
    <w:rsid w:val="0069495B"/>
    <w:rsid w:val="00694A7C"/>
    <w:rsid w:val="00694A90"/>
    <w:rsid w:val="00694C07"/>
    <w:rsid w:val="00694CA9"/>
    <w:rsid w:val="006951A5"/>
    <w:rsid w:val="006954B0"/>
    <w:rsid w:val="0069567D"/>
    <w:rsid w:val="00695E0E"/>
    <w:rsid w:val="00696680"/>
    <w:rsid w:val="006967E0"/>
    <w:rsid w:val="00696C25"/>
    <w:rsid w:val="00696FCD"/>
    <w:rsid w:val="0069764B"/>
    <w:rsid w:val="00697D72"/>
    <w:rsid w:val="00697DDD"/>
    <w:rsid w:val="00697F54"/>
    <w:rsid w:val="006A06A3"/>
    <w:rsid w:val="006A0A11"/>
    <w:rsid w:val="006A0C5B"/>
    <w:rsid w:val="006A0EEF"/>
    <w:rsid w:val="006A11A6"/>
    <w:rsid w:val="006A11E4"/>
    <w:rsid w:val="006A121F"/>
    <w:rsid w:val="006A1BC4"/>
    <w:rsid w:val="006A21E5"/>
    <w:rsid w:val="006A21F4"/>
    <w:rsid w:val="006A22C1"/>
    <w:rsid w:val="006A28B6"/>
    <w:rsid w:val="006A2D65"/>
    <w:rsid w:val="006A300A"/>
    <w:rsid w:val="006A359D"/>
    <w:rsid w:val="006A36AE"/>
    <w:rsid w:val="006A38CF"/>
    <w:rsid w:val="006A3B7B"/>
    <w:rsid w:val="006A3DD4"/>
    <w:rsid w:val="006A4A8C"/>
    <w:rsid w:val="006A4F9B"/>
    <w:rsid w:val="006A5031"/>
    <w:rsid w:val="006A5658"/>
    <w:rsid w:val="006A579F"/>
    <w:rsid w:val="006A57FB"/>
    <w:rsid w:val="006A61AA"/>
    <w:rsid w:val="006A6377"/>
    <w:rsid w:val="006A6C5B"/>
    <w:rsid w:val="006A7950"/>
    <w:rsid w:val="006A7D15"/>
    <w:rsid w:val="006B03DF"/>
    <w:rsid w:val="006B0587"/>
    <w:rsid w:val="006B061A"/>
    <w:rsid w:val="006B0F57"/>
    <w:rsid w:val="006B1017"/>
    <w:rsid w:val="006B12A7"/>
    <w:rsid w:val="006B1390"/>
    <w:rsid w:val="006B1499"/>
    <w:rsid w:val="006B157C"/>
    <w:rsid w:val="006B162E"/>
    <w:rsid w:val="006B17AD"/>
    <w:rsid w:val="006B1847"/>
    <w:rsid w:val="006B19C4"/>
    <w:rsid w:val="006B1C99"/>
    <w:rsid w:val="006B1CAE"/>
    <w:rsid w:val="006B204A"/>
    <w:rsid w:val="006B2954"/>
    <w:rsid w:val="006B2A89"/>
    <w:rsid w:val="006B3C78"/>
    <w:rsid w:val="006B40F4"/>
    <w:rsid w:val="006B4337"/>
    <w:rsid w:val="006B4774"/>
    <w:rsid w:val="006B47BE"/>
    <w:rsid w:val="006B47EC"/>
    <w:rsid w:val="006B4829"/>
    <w:rsid w:val="006B53A4"/>
    <w:rsid w:val="006B5481"/>
    <w:rsid w:val="006B59E3"/>
    <w:rsid w:val="006B5D8F"/>
    <w:rsid w:val="006B61D0"/>
    <w:rsid w:val="006B62D9"/>
    <w:rsid w:val="006B6E64"/>
    <w:rsid w:val="006B7096"/>
    <w:rsid w:val="006B767C"/>
    <w:rsid w:val="006B79CB"/>
    <w:rsid w:val="006B7F05"/>
    <w:rsid w:val="006C04E7"/>
    <w:rsid w:val="006C069F"/>
    <w:rsid w:val="006C0907"/>
    <w:rsid w:val="006C10E5"/>
    <w:rsid w:val="006C1FD2"/>
    <w:rsid w:val="006C20D0"/>
    <w:rsid w:val="006C28F0"/>
    <w:rsid w:val="006C2E24"/>
    <w:rsid w:val="006C32D8"/>
    <w:rsid w:val="006C35BE"/>
    <w:rsid w:val="006C39D5"/>
    <w:rsid w:val="006C3B47"/>
    <w:rsid w:val="006C3BDD"/>
    <w:rsid w:val="006C3E21"/>
    <w:rsid w:val="006C448D"/>
    <w:rsid w:val="006C44F0"/>
    <w:rsid w:val="006C4525"/>
    <w:rsid w:val="006C4717"/>
    <w:rsid w:val="006C5726"/>
    <w:rsid w:val="006C58DA"/>
    <w:rsid w:val="006C5DC5"/>
    <w:rsid w:val="006C607C"/>
    <w:rsid w:val="006C6147"/>
    <w:rsid w:val="006C6364"/>
    <w:rsid w:val="006C642F"/>
    <w:rsid w:val="006C647D"/>
    <w:rsid w:val="006C668E"/>
    <w:rsid w:val="006C67C5"/>
    <w:rsid w:val="006C67CF"/>
    <w:rsid w:val="006C69B2"/>
    <w:rsid w:val="006C6A64"/>
    <w:rsid w:val="006C730B"/>
    <w:rsid w:val="006C7548"/>
    <w:rsid w:val="006C7B7A"/>
    <w:rsid w:val="006C7FC1"/>
    <w:rsid w:val="006D06D3"/>
    <w:rsid w:val="006D1003"/>
    <w:rsid w:val="006D11D6"/>
    <w:rsid w:val="006D163F"/>
    <w:rsid w:val="006D17AB"/>
    <w:rsid w:val="006D17B1"/>
    <w:rsid w:val="006D209B"/>
    <w:rsid w:val="006D2420"/>
    <w:rsid w:val="006D2602"/>
    <w:rsid w:val="006D2944"/>
    <w:rsid w:val="006D2BB9"/>
    <w:rsid w:val="006D3175"/>
    <w:rsid w:val="006D3280"/>
    <w:rsid w:val="006D3472"/>
    <w:rsid w:val="006D3550"/>
    <w:rsid w:val="006D35A6"/>
    <w:rsid w:val="006D36F5"/>
    <w:rsid w:val="006D374C"/>
    <w:rsid w:val="006D3AC0"/>
    <w:rsid w:val="006D3D8F"/>
    <w:rsid w:val="006D3E5D"/>
    <w:rsid w:val="006D466B"/>
    <w:rsid w:val="006D4759"/>
    <w:rsid w:val="006D48BE"/>
    <w:rsid w:val="006D4B29"/>
    <w:rsid w:val="006D4F5A"/>
    <w:rsid w:val="006D52DC"/>
    <w:rsid w:val="006D5332"/>
    <w:rsid w:val="006D5460"/>
    <w:rsid w:val="006D54F5"/>
    <w:rsid w:val="006D5BAB"/>
    <w:rsid w:val="006D6DD3"/>
    <w:rsid w:val="006D7828"/>
    <w:rsid w:val="006D7FA2"/>
    <w:rsid w:val="006E0038"/>
    <w:rsid w:val="006E0125"/>
    <w:rsid w:val="006E0197"/>
    <w:rsid w:val="006E04C4"/>
    <w:rsid w:val="006E0CFD"/>
    <w:rsid w:val="006E1253"/>
    <w:rsid w:val="006E1338"/>
    <w:rsid w:val="006E1592"/>
    <w:rsid w:val="006E15C8"/>
    <w:rsid w:val="006E1614"/>
    <w:rsid w:val="006E1622"/>
    <w:rsid w:val="006E1BEA"/>
    <w:rsid w:val="006E1E35"/>
    <w:rsid w:val="006E2007"/>
    <w:rsid w:val="006E245B"/>
    <w:rsid w:val="006E249C"/>
    <w:rsid w:val="006E2680"/>
    <w:rsid w:val="006E2822"/>
    <w:rsid w:val="006E2A83"/>
    <w:rsid w:val="006E2E7D"/>
    <w:rsid w:val="006E3C1F"/>
    <w:rsid w:val="006E3CAC"/>
    <w:rsid w:val="006E44EC"/>
    <w:rsid w:val="006E4C29"/>
    <w:rsid w:val="006E4DBD"/>
    <w:rsid w:val="006E4EA2"/>
    <w:rsid w:val="006E5545"/>
    <w:rsid w:val="006E5D4C"/>
    <w:rsid w:val="006E5F66"/>
    <w:rsid w:val="006E6041"/>
    <w:rsid w:val="006E6049"/>
    <w:rsid w:val="006E6419"/>
    <w:rsid w:val="006E695F"/>
    <w:rsid w:val="006E6ED9"/>
    <w:rsid w:val="006E719C"/>
    <w:rsid w:val="006E7271"/>
    <w:rsid w:val="006E76A3"/>
    <w:rsid w:val="006E7B09"/>
    <w:rsid w:val="006E7ED0"/>
    <w:rsid w:val="006E7FD1"/>
    <w:rsid w:val="006F0138"/>
    <w:rsid w:val="006F0480"/>
    <w:rsid w:val="006F0553"/>
    <w:rsid w:val="006F0583"/>
    <w:rsid w:val="006F0889"/>
    <w:rsid w:val="006F0DD8"/>
    <w:rsid w:val="006F10BB"/>
    <w:rsid w:val="006F127E"/>
    <w:rsid w:val="006F15F0"/>
    <w:rsid w:val="006F179F"/>
    <w:rsid w:val="006F1A7B"/>
    <w:rsid w:val="006F2133"/>
    <w:rsid w:val="006F22B9"/>
    <w:rsid w:val="006F2609"/>
    <w:rsid w:val="006F2B36"/>
    <w:rsid w:val="006F3123"/>
    <w:rsid w:val="006F32E8"/>
    <w:rsid w:val="006F446C"/>
    <w:rsid w:val="006F4BAD"/>
    <w:rsid w:val="006F4C36"/>
    <w:rsid w:val="006F51D6"/>
    <w:rsid w:val="006F5232"/>
    <w:rsid w:val="006F59AB"/>
    <w:rsid w:val="006F5B61"/>
    <w:rsid w:val="006F61CA"/>
    <w:rsid w:val="006F658F"/>
    <w:rsid w:val="006F6A40"/>
    <w:rsid w:val="006F6B5E"/>
    <w:rsid w:val="006F6BF0"/>
    <w:rsid w:val="006F6F3F"/>
    <w:rsid w:val="006F70E1"/>
    <w:rsid w:val="006F7301"/>
    <w:rsid w:val="006F7AA6"/>
    <w:rsid w:val="006F7B37"/>
    <w:rsid w:val="006F7BB6"/>
    <w:rsid w:val="006F7F92"/>
    <w:rsid w:val="00700038"/>
    <w:rsid w:val="0070050E"/>
    <w:rsid w:val="00700D7D"/>
    <w:rsid w:val="00701C61"/>
    <w:rsid w:val="00702087"/>
    <w:rsid w:val="007024B9"/>
    <w:rsid w:val="007028BD"/>
    <w:rsid w:val="00702929"/>
    <w:rsid w:val="00702C18"/>
    <w:rsid w:val="00702DC4"/>
    <w:rsid w:val="0070330F"/>
    <w:rsid w:val="00703351"/>
    <w:rsid w:val="00703D71"/>
    <w:rsid w:val="00703DCE"/>
    <w:rsid w:val="00704754"/>
    <w:rsid w:val="00704AA2"/>
    <w:rsid w:val="00704C4A"/>
    <w:rsid w:val="00704EFC"/>
    <w:rsid w:val="0070507B"/>
    <w:rsid w:val="0070543F"/>
    <w:rsid w:val="0070555E"/>
    <w:rsid w:val="00705E66"/>
    <w:rsid w:val="00706047"/>
    <w:rsid w:val="0070633E"/>
    <w:rsid w:val="007073F3"/>
    <w:rsid w:val="00707ABF"/>
    <w:rsid w:val="00707F9A"/>
    <w:rsid w:val="0071061B"/>
    <w:rsid w:val="00710A1C"/>
    <w:rsid w:val="00710AC1"/>
    <w:rsid w:val="00710E84"/>
    <w:rsid w:val="007111FD"/>
    <w:rsid w:val="00711290"/>
    <w:rsid w:val="00711489"/>
    <w:rsid w:val="007114B5"/>
    <w:rsid w:val="0071190A"/>
    <w:rsid w:val="00711B79"/>
    <w:rsid w:val="00711C32"/>
    <w:rsid w:val="00712386"/>
    <w:rsid w:val="0071239A"/>
    <w:rsid w:val="00712607"/>
    <w:rsid w:val="007126C3"/>
    <w:rsid w:val="007129FF"/>
    <w:rsid w:val="0071309D"/>
    <w:rsid w:val="0071314E"/>
    <w:rsid w:val="0071326B"/>
    <w:rsid w:val="00713717"/>
    <w:rsid w:val="00713CEF"/>
    <w:rsid w:val="00714233"/>
    <w:rsid w:val="007143A4"/>
    <w:rsid w:val="007147E9"/>
    <w:rsid w:val="007149EF"/>
    <w:rsid w:val="00715192"/>
    <w:rsid w:val="007152F9"/>
    <w:rsid w:val="007162D2"/>
    <w:rsid w:val="00716310"/>
    <w:rsid w:val="007165ED"/>
    <w:rsid w:val="00716F0E"/>
    <w:rsid w:val="00716F5A"/>
    <w:rsid w:val="00717404"/>
    <w:rsid w:val="00717F5C"/>
    <w:rsid w:val="007200F4"/>
    <w:rsid w:val="00720508"/>
    <w:rsid w:val="00720CFB"/>
    <w:rsid w:val="00720DBC"/>
    <w:rsid w:val="00720F9E"/>
    <w:rsid w:val="007216AD"/>
    <w:rsid w:val="00721979"/>
    <w:rsid w:val="00721C39"/>
    <w:rsid w:val="00721E0E"/>
    <w:rsid w:val="00721E59"/>
    <w:rsid w:val="00721F48"/>
    <w:rsid w:val="00721FE3"/>
    <w:rsid w:val="007222C0"/>
    <w:rsid w:val="00722492"/>
    <w:rsid w:val="00723718"/>
    <w:rsid w:val="00723804"/>
    <w:rsid w:val="007239DF"/>
    <w:rsid w:val="007239F0"/>
    <w:rsid w:val="00723A5B"/>
    <w:rsid w:val="007240B5"/>
    <w:rsid w:val="00724C16"/>
    <w:rsid w:val="00724DB0"/>
    <w:rsid w:val="00724EED"/>
    <w:rsid w:val="00724FFA"/>
    <w:rsid w:val="0072515F"/>
    <w:rsid w:val="00725667"/>
    <w:rsid w:val="00725D10"/>
    <w:rsid w:val="007266AB"/>
    <w:rsid w:val="007266C9"/>
    <w:rsid w:val="00726F37"/>
    <w:rsid w:val="00727412"/>
    <w:rsid w:val="00727574"/>
    <w:rsid w:val="007276AA"/>
    <w:rsid w:val="00727945"/>
    <w:rsid w:val="00727D6A"/>
    <w:rsid w:val="007300AE"/>
    <w:rsid w:val="00730558"/>
    <w:rsid w:val="007307F0"/>
    <w:rsid w:val="007308A7"/>
    <w:rsid w:val="00730A2B"/>
    <w:rsid w:val="007313DB"/>
    <w:rsid w:val="007314D9"/>
    <w:rsid w:val="007318B3"/>
    <w:rsid w:val="00731F81"/>
    <w:rsid w:val="0073224D"/>
    <w:rsid w:val="00732821"/>
    <w:rsid w:val="00732B14"/>
    <w:rsid w:val="00732BF8"/>
    <w:rsid w:val="00732CB5"/>
    <w:rsid w:val="00732FFC"/>
    <w:rsid w:val="0073324D"/>
    <w:rsid w:val="00733251"/>
    <w:rsid w:val="00733268"/>
    <w:rsid w:val="007335E3"/>
    <w:rsid w:val="007344D8"/>
    <w:rsid w:val="007349B7"/>
    <w:rsid w:val="00734BA5"/>
    <w:rsid w:val="007352A1"/>
    <w:rsid w:val="007355BF"/>
    <w:rsid w:val="0073564E"/>
    <w:rsid w:val="00735AD3"/>
    <w:rsid w:val="00735D01"/>
    <w:rsid w:val="00736681"/>
    <w:rsid w:val="0073687D"/>
    <w:rsid w:val="00736F50"/>
    <w:rsid w:val="00737B4A"/>
    <w:rsid w:val="00737DEF"/>
    <w:rsid w:val="00740010"/>
    <w:rsid w:val="00740792"/>
    <w:rsid w:val="00740FC8"/>
    <w:rsid w:val="0074116E"/>
    <w:rsid w:val="00741435"/>
    <w:rsid w:val="00741ED9"/>
    <w:rsid w:val="007420DA"/>
    <w:rsid w:val="007428FB"/>
    <w:rsid w:val="00742B09"/>
    <w:rsid w:val="00742EEF"/>
    <w:rsid w:val="0074320A"/>
    <w:rsid w:val="0074324C"/>
    <w:rsid w:val="00743672"/>
    <w:rsid w:val="00743D92"/>
    <w:rsid w:val="0074432D"/>
    <w:rsid w:val="00744734"/>
    <w:rsid w:val="00744952"/>
    <w:rsid w:val="007452E4"/>
    <w:rsid w:val="007456E9"/>
    <w:rsid w:val="007459DD"/>
    <w:rsid w:val="00745A08"/>
    <w:rsid w:val="00745CDE"/>
    <w:rsid w:val="00745D6A"/>
    <w:rsid w:val="00745E43"/>
    <w:rsid w:val="00745EE1"/>
    <w:rsid w:val="00745F11"/>
    <w:rsid w:val="0074665A"/>
    <w:rsid w:val="00746E70"/>
    <w:rsid w:val="00747176"/>
    <w:rsid w:val="0074747A"/>
    <w:rsid w:val="00747490"/>
    <w:rsid w:val="00750192"/>
    <w:rsid w:val="007504A5"/>
    <w:rsid w:val="007505C2"/>
    <w:rsid w:val="00751158"/>
    <w:rsid w:val="007513C1"/>
    <w:rsid w:val="00751892"/>
    <w:rsid w:val="00751C2D"/>
    <w:rsid w:val="00752816"/>
    <w:rsid w:val="00752D52"/>
    <w:rsid w:val="0075322A"/>
    <w:rsid w:val="0075377E"/>
    <w:rsid w:val="00753CB8"/>
    <w:rsid w:val="007542D4"/>
    <w:rsid w:val="00754CFD"/>
    <w:rsid w:val="00754F18"/>
    <w:rsid w:val="007552AF"/>
    <w:rsid w:val="00755374"/>
    <w:rsid w:val="00755481"/>
    <w:rsid w:val="00755516"/>
    <w:rsid w:val="00755553"/>
    <w:rsid w:val="00755678"/>
    <w:rsid w:val="00755DFE"/>
    <w:rsid w:val="0075625C"/>
    <w:rsid w:val="007571C9"/>
    <w:rsid w:val="007575DC"/>
    <w:rsid w:val="007575E8"/>
    <w:rsid w:val="007602A0"/>
    <w:rsid w:val="007604E1"/>
    <w:rsid w:val="00760725"/>
    <w:rsid w:val="00761385"/>
    <w:rsid w:val="00761730"/>
    <w:rsid w:val="0076181A"/>
    <w:rsid w:val="007619C2"/>
    <w:rsid w:val="007619DE"/>
    <w:rsid w:val="00761B35"/>
    <w:rsid w:val="00761B5A"/>
    <w:rsid w:val="0076201F"/>
    <w:rsid w:val="00762372"/>
    <w:rsid w:val="00762837"/>
    <w:rsid w:val="00762AA6"/>
    <w:rsid w:val="00762D57"/>
    <w:rsid w:val="0076318A"/>
    <w:rsid w:val="007637C1"/>
    <w:rsid w:val="0076397D"/>
    <w:rsid w:val="00763A76"/>
    <w:rsid w:val="0076416B"/>
    <w:rsid w:val="00764E4B"/>
    <w:rsid w:val="007653D8"/>
    <w:rsid w:val="00765643"/>
    <w:rsid w:val="00765708"/>
    <w:rsid w:val="00765917"/>
    <w:rsid w:val="007659BA"/>
    <w:rsid w:val="007659EB"/>
    <w:rsid w:val="00765E87"/>
    <w:rsid w:val="007660E3"/>
    <w:rsid w:val="00766384"/>
    <w:rsid w:val="007664FC"/>
    <w:rsid w:val="00766931"/>
    <w:rsid w:val="007669E5"/>
    <w:rsid w:val="00766EC6"/>
    <w:rsid w:val="00767779"/>
    <w:rsid w:val="007678A0"/>
    <w:rsid w:val="00767A1F"/>
    <w:rsid w:val="00767AE4"/>
    <w:rsid w:val="00767BBB"/>
    <w:rsid w:val="00770172"/>
    <w:rsid w:val="00770D87"/>
    <w:rsid w:val="0077105B"/>
    <w:rsid w:val="00771C67"/>
    <w:rsid w:val="00771FEF"/>
    <w:rsid w:val="0077261B"/>
    <w:rsid w:val="00772C12"/>
    <w:rsid w:val="0077321D"/>
    <w:rsid w:val="007735F8"/>
    <w:rsid w:val="00773854"/>
    <w:rsid w:val="00773DB6"/>
    <w:rsid w:val="007740A5"/>
    <w:rsid w:val="007740F7"/>
    <w:rsid w:val="0077410C"/>
    <w:rsid w:val="0077443C"/>
    <w:rsid w:val="00774746"/>
    <w:rsid w:val="00774C25"/>
    <w:rsid w:val="00774FDB"/>
    <w:rsid w:val="0077559D"/>
    <w:rsid w:val="00775AA8"/>
    <w:rsid w:val="00775B75"/>
    <w:rsid w:val="00775E64"/>
    <w:rsid w:val="00776D2B"/>
    <w:rsid w:val="00776E2C"/>
    <w:rsid w:val="007772EF"/>
    <w:rsid w:val="00777432"/>
    <w:rsid w:val="00777986"/>
    <w:rsid w:val="00777BFE"/>
    <w:rsid w:val="00780897"/>
    <w:rsid w:val="007815ED"/>
    <w:rsid w:val="0078192A"/>
    <w:rsid w:val="00781C68"/>
    <w:rsid w:val="00781E69"/>
    <w:rsid w:val="007821C1"/>
    <w:rsid w:val="00782D62"/>
    <w:rsid w:val="007838FF"/>
    <w:rsid w:val="00783EBB"/>
    <w:rsid w:val="0078438B"/>
    <w:rsid w:val="0078451D"/>
    <w:rsid w:val="00784A2B"/>
    <w:rsid w:val="00784CAD"/>
    <w:rsid w:val="00784D68"/>
    <w:rsid w:val="007851A8"/>
    <w:rsid w:val="0078531C"/>
    <w:rsid w:val="0078544D"/>
    <w:rsid w:val="00785788"/>
    <w:rsid w:val="00785862"/>
    <w:rsid w:val="0078649D"/>
    <w:rsid w:val="007864C1"/>
    <w:rsid w:val="007865A6"/>
    <w:rsid w:val="00786A09"/>
    <w:rsid w:val="00786EAA"/>
    <w:rsid w:val="007871CA"/>
    <w:rsid w:val="007874F6"/>
    <w:rsid w:val="00787A69"/>
    <w:rsid w:val="00787EEF"/>
    <w:rsid w:val="0079034C"/>
    <w:rsid w:val="0079040F"/>
    <w:rsid w:val="0079062A"/>
    <w:rsid w:val="00790899"/>
    <w:rsid w:val="00791007"/>
    <w:rsid w:val="007912F9"/>
    <w:rsid w:val="00791DD8"/>
    <w:rsid w:val="00792041"/>
    <w:rsid w:val="00792444"/>
    <w:rsid w:val="007924E3"/>
    <w:rsid w:val="0079273F"/>
    <w:rsid w:val="00792899"/>
    <w:rsid w:val="00792BAF"/>
    <w:rsid w:val="00792D5D"/>
    <w:rsid w:val="007930B2"/>
    <w:rsid w:val="007930F4"/>
    <w:rsid w:val="00793975"/>
    <w:rsid w:val="007943EE"/>
    <w:rsid w:val="00794469"/>
    <w:rsid w:val="00795383"/>
    <w:rsid w:val="0079692E"/>
    <w:rsid w:val="00796942"/>
    <w:rsid w:val="00796A34"/>
    <w:rsid w:val="00797011"/>
    <w:rsid w:val="007974B5"/>
    <w:rsid w:val="00797AB1"/>
    <w:rsid w:val="00797BC8"/>
    <w:rsid w:val="00797F59"/>
    <w:rsid w:val="007A0036"/>
    <w:rsid w:val="007A0284"/>
    <w:rsid w:val="007A02BC"/>
    <w:rsid w:val="007A05D5"/>
    <w:rsid w:val="007A069F"/>
    <w:rsid w:val="007A08D1"/>
    <w:rsid w:val="007A0C74"/>
    <w:rsid w:val="007A0E8E"/>
    <w:rsid w:val="007A128E"/>
    <w:rsid w:val="007A14A3"/>
    <w:rsid w:val="007A1DCB"/>
    <w:rsid w:val="007A20B9"/>
    <w:rsid w:val="007A235A"/>
    <w:rsid w:val="007A28AB"/>
    <w:rsid w:val="007A28EC"/>
    <w:rsid w:val="007A2A3A"/>
    <w:rsid w:val="007A2D8C"/>
    <w:rsid w:val="007A34AE"/>
    <w:rsid w:val="007A35CD"/>
    <w:rsid w:val="007A3A9B"/>
    <w:rsid w:val="007A3AD9"/>
    <w:rsid w:val="007A3B98"/>
    <w:rsid w:val="007A3E1C"/>
    <w:rsid w:val="007A43DE"/>
    <w:rsid w:val="007A4682"/>
    <w:rsid w:val="007A47C1"/>
    <w:rsid w:val="007A48A3"/>
    <w:rsid w:val="007A4CC8"/>
    <w:rsid w:val="007A4DFF"/>
    <w:rsid w:val="007A54C5"/>
    <w:rsid w:val="007A5851"/>
    <w:rsid w:val="007A5B1C"/>
    <w:rsid w:val="007A5D40"/>
    <w:rsid w:val="007A62BB"/>
    <w:rsid w:val="007A63C1"/>
    <w:rsid w:val="007A6501"/>
    <w:rsid w:val="007A65BD"/>
    <w:rsid w:val="007A67B3"/>
    <w:rsid w:val="007A6FCF"/>
    <w:rsid w:val="007A736E"/>
    <w:rsid w:val="007A77E8"/>
    <w:rsid w:val="007A7857"/>
    <w:rsid w:val="007B01E9"/>
    <w:rsid w:val="007B0265"/>
    <w:rsid w:val="007B0DAA"/>
    <w:rsid w:val="007B0EF2"/>
    <w:rsid w:val="007B10A8"/>
    <w:rsid w:val="007B1429"/>
    <w:rsid w:val="007B1811"/>
    <w:rsid w:val="007B21C2"/>
    <w:rsid w:val="007B225A"/>
    <w:rsid w:val="007B2492"/>
    <w:rsid w:val="007B2504"/>
    <w:rsid w:val="007B2F5E"/>
    <w:rsid w:val="007B2FF8"/>
    <w:rsid w:val="007B32BA"/>
    <w:rsid w:val="007B3B23"/>
    <w:rsid w:val="007B4164"/>
    <w:rsid w:val="007B42CE"/>
    <w:rsid w:val="007B556F"/>
    <w:rsid w:val="007B55D6"/>
    <w:rsid w:val="007B55E8"/>
    <w:rsid w:val="007B59C2"/>
    <w:rsid w:val="007B5B27"/>
    <w:rsid w:val="007B5D6B"/>
    <w:rsid w:val="007B5F5F"/>
    <w:rsid w:val="007B63FA"/>
    <w:rsid w:val="007B6524"/>
    <w:rsid w:val="007B7166"/>
    <w:rsid w:val="007B7278"/>
    <w:rsid w:val="007B73AA"/>
    <w:rsid w:val="007B7420"/>
    <w:rsid w:val="007B79E7"/>
    <w:rsid w:val="007B79F1"/>
    <w:rsid w:val="007B7B93"/>
    <w:rsid w:val="007B7F30"/>
    <w:rsid w:val="007C04A5"/>
    <w:rsid w:val="007C07F7"/>
    <w:rsid w:val="007C0FAA"/>
    <w:rsid w:val="007C16B2"/>
    <w:rsid w:val="007C1AA6"/>
    <w:rsid w:val="007C2536"/>
    <w:rsid w:val="007C2C3F"/>
    <w:rsid w:val="007C2CAF"/>
    <w:rsid w:val="007C35C9"/>
    <w:rsid w:val="007C3A5D"/>
    <w:rsid w:val="007C3CF5"/>
    <w:rsid w:val="007C4012"/>
    <w:rsid w:val="007C4633"/>
    <w:rsid w:val="007C4CA0"/>
    <w:rsid w:val="007C4DF0"/>
    <w:rsid w:val="007C5F2F"/>
    <w:rsid w:val="007C5F78"/>
    <w:rsid w:val="007C6163"/>
    <w:rsid w:val="007C6177"/>
    <w:rsid w:val="007C65F9"/>
    <w:rsid w:val="007C7529"/>
    <w:rsid w:val="007C762F"/>
    <w:rsid w:val="007C7A1B"/>
    <w:rsid w:val="007C7C71"/>
    <w:rsid w:val="007C7CA6"/>
    <w:rsid w:val="007C7D00"/>
    <w:rsid w:val="007C7E05"/>
    <w:rsid w:val="007D01FD"/>
    <w:rsid w:val="007D0289"/>
    <w:rsid w:val="007D0382"/>
    <w:rsid w:val="007D06B1"/>
    <w:rsid w:val="007D120C"/>
    <w:rsid w:val="007D14CF"/>
    <w:rsid w:val="007D16FA"/>
    <w:rsid w:val="007D1855"/>
    <w:rsid w:val="007D193D"/>
    <w:rsid w:val="007D1EA4"/>
    <w:rsid w:val="007D2332"/>
    <w:rsid w:val="007D24BA"/>
    <w:rsid w:val="007D2579"/>
    <w:rsid w:val="007D2656"/>
    <w:rsid w:val="007D2940"/>
    <w:rsid w:val="007D2D22"/>
    <w:rsid w:val="007D3125"/>
    <w:rsid w:val="007D3B5C"/>
    <w:rsid w:val="007D3D59"/>
    <w:rsid w:val="007D4266"/>
    <w:rsid w:val="007D43EC"/>
    <w:rsid w:val="007D4529"/>
    <w:rsid w:val="007D45C3"/>
    <w:rsid w:val="007D46BA"/>
    <w:rsid w:val="007D46FC"/>
    <w:rsid w:val="007D4886"/>
    <w:rsid w:val="007D4971"/>
    <w:rsid w:val="007D4ABA"/>
    <w:rsid w:val="007D4F32"/>
    <w:rsid w:val="007D5037"/>
    <w:rsid w:val="007D54B3"/>
    <w:rsid w:val="007D57E8"/>
    <w:rsid w:val="007D5C6F"/>
    <w:rsid w:val="007D5F20"/>
    <w:rsid w:val="007D6142"/>
    <w:rsid w:val="007D61F3"/>
    <w:rsid w:val="007D6740"/>
    <w:rsid w:val="007D6ACF"/>
    <w:rsid w:val="007D6BCD"/>
    <w:rsid w:val="007D702F"/>
    <w:rsid w:val="007D73D7"/>
    <w:rsid w:val="007D7D67"/>
    <w:rsid w:val="007E01ED"/>
    <w:rsid w:val="007E0D0E"/>
    <w:rsid w:val="007E1314"/>
    <w:rsid w:val="007E13FF"/>
    <w:rsid w:val="007E2120"/>
    <w:rsid w:val="007E2130"/>
    <w:rsid w:val="007E237C"/>
    <w:rsid w:val="007E260F"/>
    <w:rsid w:val="007E2FCF"/>
    <w:rsid w:val="007E3C41"/>
    <w:rsid w:val="007E3C8C"/>
    <w:rsid w:val="007E3F39"/>
    <w:rsid w:val="007E418F"/>
    <w:rsid w:val="007E44B7"/>
    <w:rsid w:val="007E47F6"/>
    <w:rsid w:val="007E4966"/>
    <w:rsid w:val="007E5EAC"/>
    <w:rsid w:val="007E5EC6"/>
    <w:rsid w:val="007E613A"/>
    <w:rsid w:val="007E6291"/>
    <w:rsid w:val="007E7408"/>
    <w:rsid w:val="007E7AE8"/>
    <w:rsid w:val="007E7C36"/>
    <w:rsid w:val="007F05D4"/>
    <w:rsid w:val="007F0E97"/>
    <w:rsid w:val="007F109F"/>
    <w:rsid w:val="007F1200"/>
    <w:rsid w:val="007F167E"/>
    <w:rsid w:val="007F16D4"/>
    <w:rsid w:val="007F1A02"/>
    <w:rsid w:val="007F2273"/>
    <w:rsid w:val="007F2285"/>
    <w:rsid w:val="007F261E"/>
    <w:rsid w:val="007F262C"/>
    <w:rsid w:val="007F2B77"/>
    <w:rsid w:val="007F3B8F"/>
    <w:rsid w:val="007F45FE"/>
    <w:rsid w:val="007F4AC8"/>
    <w:rsid w:val="007F4C18"/>
    <w:rsid w:val="007F4D97"/>
    <w:rsid w:val="007F4E4C"/>
    <w:rsid w:val="007F6156"/>
    <w:rsid w:val="007F6379"/>
    <w:rsid w:val="007F648B"/>
    <w:rsid w:val="007F6657"/>
    <w:rsid w:val="007F6805"/>
    <w:rsid w:val="007F6B57"/>
    <w:rsid w:val="007F6C13"/>
    <w:rsid w:val="007F7043"/>
    <w:rsid w:val="007F7190"/>
    <w:rsid w:val="007F72C9"/>
    <w:rsid w:val="007F744F"/>
    <w:rsid w:val="007F7A92"/>
    <w:rsid w:val="00800A3E"/>
    <w:rsid w:val="00800C44"/>
    <w:rsid w:val="00800CDA"/>
    <w:rsid w:val="00800D86"/>
    <w:rsid w:val="00800EA0"/>
    <w:rsid w:val="0080117E"/>
    <w:rsid w:val="008013C4"/>
    <w:rsid w:val="008014E9"/>
    <w:rsid w:val="0080160E"/>
    <w:rsid w:val="00801802"/>
    <w:rsid w:val="00801C6C"/>
    <w:rsid w:val="00801D40"/>
    <w:rsid w:val="00801E11"/>
    <w:rsid w:val="00801EAB"/>
    <w:rsid w:val="00802064"/>
    <w:rsid w:val="008024AA"/>
    <w:rsid w:val="00802FC4"/>
    <w:rsid w:val="00803ADC"/>
    <w:rsid w:val="00803E8D"/>
    <w:rsid w:val="0080410C"/>
    <w:rsid w:val="0080446C"/>
    <w:rsid w:val="008044AA"/>
    <w:rsid w:val="008058D7"/>
    <w:rsid w:val="00805D04"/>
    <w:rsid w:val="00805E7F"/>
    <w:rsid w:val="00806081"/>
    <w:rsid w:val="0080637B"/>
    <w:rsid w:val="00806819"/>
    <w:rsid w:val="00807036"/>
    <w:rsid w:val="0080755F"/>
    <w:rsid w:val="0080760E"/>
    <w:rsid w:val="0080764B"/>
    <w:rsid w:val="008077E2"/>
    <w:rsid w:val="00807C7C"/>
    <w:rsid w:val="00810386"/>
    <w:rsid w:val="008115DE"/>
    <w:rsid w:val="008118BE"/>
    <w:rsid w:val="00811CCA"/>
    <w:rsid w:val="00811EE5"/>
    <w:rsid w:val="00811EF9"/>
    <w:rsid w:val="008120EE"/>
    <w:rsid w:val="00812296"/>
    <w:rsid w:val="0081272F"/>
    <w:rsid w:val="00812A22"/>
    <w:rsid w:val="00813256"/>
    <w:rsid w:val="00813950"/>
    <w:rsid w:val="008140BB"/>
    <w:rsid w:val="00814138"/>
    <w:rsid w:val="0081419D"/>
    <w:rsid w:val="00815261"/>
    <w:rsid w:val="00815348"/>
    <w:rsid w:val="0081564B"/>
    <w:rsid w:val="0081572D"/>
    <w:rsid w:val="00815B1A"/>
    <w:rsid w:val="00815BDA"/>
    <w:rsid w:val="008162D4"/>
    <w:rsid w:val="00816332"/>
    <w:rsid w:val="008167D6"/>
    <w:rsid w:val="00816CA6"/>
    <w:rsid w:val="00816DCD"/>
    <w:rsid w:val="00816FD8"/>
    <w:rsid w:val="00816FFA"/>
    <w:rsid w:val="0081722D"/>
    <w:rsid w:val="00817513"/>
    <w:rsid w:val="00817E9A"/>
    <w:rsid w:val="00817EA6"/>
    <w:rsid w:val="00817EF0"/>
    <w:rsid w:val="008200F3"/>
    <w:rsid w:val="008203CF"/>
    <w:rsid w:val="008205DB"/>
    <w:rsid w:val="0082114F"/>
    <w:rsid w:val="008219AF"/>
    <w:rsid w:val="00821CF6"/>
    <w:rsid w:val="008222E0"/>
    <w:rsid w:val="00822D87"/>
    <w:rsid w:val="008231F9"/>
    <w:rsid w:val="0082356F"/>
    <w:rsid w:val="0082358D"/>
    <w:rsid w:val="008236D2"/>
    <w:rsid w:val="0082374B"/>
    <w:rsid w:val="00823CDA"/>
    <w:rsid w:val="00824072"/>
    <w:rsid w:val="0082413A"/>
    <w:rsid w:val="00824508"/>
    <w:rsid w:val="0082454E"/>
    <w:rsid w:val="0082518B"/>
    <w:rsid w:val="00826469"/>
    <w:rsid w:val="008264C2"/>
    <w:rsid w:val="00826C10"/>
    <w:rsid w:val="00826C96"/>
    <w:rsid w:val="00826DF0"/>
    <w:rsid w:val="008275D0"/>
    <w:rsid w:val="0082772E"/>
    <w:rsid w:val="00830052"/>
    <w:rsid w:val="00830080"/>
    <w:rsid w:val="008302CC"/>
    <w:rsid w:val="00830A0D"/>
    <w:rsid w:val="00830C70"/>
    <w:rsid w:val="008311BD"/>
    <w:rsid w:val="008315B7"/>
    <w:rsid w:val="00831779"/>
    <w:rsid w:val="00831923"/>
    <w:rsid w:val="00831A40"/>
    <w:rsid w:val="00831B61"/>
    <w:rsid w:val="00831CE6"/>
    <w:rsid w:val="00831F58"/>
    <w:rsid w:val="00832044"/>
    <w:rsid w:val="008325B8"/>
    <w:rsid w:val="008326F6"/>
    <w:rsid w:val="0083296B"/>
    <w:rsid w:val="008329A9"/>
    <w:rsid w:val="00833A9F"/>
    <w:rsid w:val="00833D24"/>
    <w:rsid w:val="00833E52"/>
    <w:rsid w:val="00833ED5"/>
    <w:rsid w:val="00834730"/>
    <w:rsid w:val="0083475D"/>
    <w:rsid w:val="008348F3"/>
    <w:rsid w:val="00834C6B"/>
    <w:rsid w:val="008351BD"/>
    <w:rsid w:val="00835CA0"/>
    <w:rsid w:val="00835D55"/>
    <w:rsid w:val="00835DE8"/>
    <w:rsid w:val="0083720E"/>
    <w:rsid w:val="008376DB"/>
    <w:rsid w:val="0083774D"/>
    <w:rsid w:val="00837B3C"/>
    <w:rsid w:val="00837E2F"/>
    <w:rsid w:val="008402F2"/>
    <w:rsid w:val="0084050F"/>
    <w:rsid w:val="00840C10"/>
    <w:rsid w:val="00840CF5"/>
    <w:rsid w:val="00840E91"/>
    <w:rsid w:val="00840F0C"/>
    <w:rsid w:val="008410BE"/>
    <w:rsid w:val="00841211"/>
    <w:rsid w:val="008413CD"/>
    <w:rsid w:val="008416DD"/>
    <w:rsid w:val="008419EA"/>
    <w:rsid w:val="00841A8D"/>
    <w:rsid w:val="008422A9"/>
    <w:rsid w:val="00842CC4"/>
    <w:rsid w:val="00842F2F"/>
    <w:rsid w:val="008438AF"/>
    <w:rsid w:val="00843B03"/>
    <w:rsid w:val="00843C94"/>
    <w:rsid w:val="00844BBD"/>
    <w:rsid w:val="00844C51"/>
    <w:rsid w:val="00845809"/>
    <w:rsid w:val="00845D05"/>
    <w:rsid w:val="008465C4"/>
    <w:rsid w:val="00846694"/>
    <w:rsid w:val="008471EB"/>
    <w:rsid w:val="008472DD"/>
    <w:rsid w:val="00847300"/>
    <w:rsid w:val="00847436"/>
    <w:rsid w:val="00847590"/>
    <w:rsid w:val="008475A0"/>
    <w:rsid w:val="008475B5"/>
    <w:rsid w:val="0084769B"/>
    <w:rsid w:val="00847B76"/>
    <w:rsid w:val="00847E48"/>
    <w:rsid w:val="00850CA7"/>
    <w:rsid w:val="00850EF5"/>
    <w:rsid w:val="008517B6"/>
    <w:rsid w:val="00851F99"/>
    <w:rsid w:val="00852428"/>
    <w:rsid w:val="00852846"/>
    <w:rsid w:val="00852858"/>
    <w:rsid w:val="00852B24"/>
    <w:rsid w:val="00852CAE"/>
    <w:rsid w:val="00852D6D"/>
    <w:rsid w:val="00852EDF"/>
    <w:rsid w:val="00853444"/>
    <w:rsid w:val="008534E6"/>
    <w:rsid w:val="008536B8"/>
    <w:rsid w:val="008537D9"/>
    <w:rsid w:val="0085389A"/>
    <w:rsid w:val="00854075"/>
    <w:rsid w:val="008549A6"/>
    <w:rsid w:val="008549DE"/>
    <w:rsid w:val="00855A18"/>
    <w:rsid w:val="00855DD9"/>
    <w:rsid w:val="008565A6"/>
    <w:rsid w:val="00856984"/>
    <w:rsid w:val="00856A2D"/>
    <w:rsid w:val="00856AF6"/>
    <w:rsid w:val="00856DC4"/>
    <w:rsid w:val="0085707D"/>
    <w:rsid w:val="008572A0"/>
    <w:rsid w:val="0085730B"/>
    <w:rsid w:val="00857596"/>
    <w:rsid w:val="00857A80"/>
    <w:rsid w:val="00857A96"/>
    <w:rsid w:val="00857B28"/>
    <w:rsid w:val="00860317"/>
    <w:rsid w:val="008603FA"/>
    <w:rsid w:val="00860B89"/>
    <w:rsid w:val="0086166B"/>
    <w:rsid w:val="00861A2B"/>
    <w:rsid w:val="00861B19"/>
    <w:rsid w:val="008628EA"/>
    <w:rsid w:val="00862949"/>
    <w:rsid w:val="00862DA5"/>
    <w:rsid w:val="008639F3"/>
    <w:rsid w:val="00863DF2"/>
    <w:rsid w:val="00863FB2"/>
    <w:rsid w:val="008641C5"/>
    <w:rsid w:val="00864E63"/>
    <w:rsid w:val="00864EFD"/>
    <w:rsid w:val="0086523C"/>
    <w:rsid w:val="0086535C"/>
    <w:rsid w:val="00865C9B"/>
    <w:rsid w:val="0086624C"/>
    <w:rsid w:val="008664B3"/>
    <w:rsid w:val="0086687C"/>
    <w:rsid w:val="00866CC6"/>
    <w:rsid w:val="00866EC0"/>
    <w:rsid w:val="00867047"/>
    <w:rsid w:val="0086711E"/>
    <w:rsid w:val="0086791E"/>
    <w:rsid w:val="008679CB"/>
    <w:rsid w:val="00867EB0"/>
    <w:rsid w:val="008706AE"/>
    <w:rsid w:val="0087171C"/>
    <w:rsid w:val="008718F2"/>
    <w:rsid w:val="00871AD3"/>
    <w:rsid w:val="00872220"/>
    <w:rsid w:val="0087223E"/>
    <w:rsid w:val="008725F3"/>
    <w:rsid w:val="008726B8"/>
    <w:rsid w:val="008733E0"/>
    <w:rsid w:val="00873539"/>
    <w:rsid w:val="008737DA"/>
    <w:rsid w:val="00873827"/>
    <w:rsid w:val="0087419B"/>
    <w:rsid w:val="008743BB"/>
    <w:rsid w:val="00874644"/>
    <w:rsid w:val="00874730"/>
    <w:rsid w:val="00875C0D"/>
    <w:rsid w:val="00875EF1"/>
    <w:rsid w:val="00875FCC"/>
    <w:rsid w:val="00876025"/>
    <w:rsid w:val="008760F3"/>
    <w:rsid w:val="00876482"/>
    <w:rsid w:val="0087675C"/>
    <w:rsid w:val="00876965"/>
    <w:rsid w:val="00877191"/>
    <w:rsid w:val="008773F4"/>
    <w:rsid w:val="00877421"/>
    <w:rsid w:val="00877433"/>
    <w:rsid w:val="008774A9"/>
    <w:rsid w:val="008774CB"/>
    <w:rsid w:val="008779FF"/>
    <w:rsid w:val="0088039B"/>
    <w:rsid w:val="008803E8"/>
    <w:rsid w:val="00880B6F"/>
    <w:rsid w:val="0088142E"/>
    <w:rsid w:val="00881AFF"/>
    <w:rsid w:val="00881B49"/>
    <w:rsid w:val="00882366"/>
    <w:rsid w:val="0088251A"/>
    <w:rsid w:val="00882692"/>
    <w:rsid w:val="008828FA"/>
    <w:rsid w:val="00882A68"/>
    <w:rsid w:val="00882C58"/>
    <w:rsid w:val="00882FDE"/>
    <w:rsid w:val="00883035"/>
    <w:rsid w:val="008831BD"/>
    <w:rsid w:val="00883214"/>
    <w:rsid w:val="0088328C"/>
    <w:rsid w:val="008834FB"/>
    <w:rsid w:val="008835A8"/>
    <w:rsid w:val="0088374E"/>
    <w:rsid w:val="00884080"/>
    <w:rsid w:val="00884218"/>
    <w:rsid w:val="0088422E"/>
    <w:rsid w:val="0088425A"/>
    <w:rsid w:val="00884BEA"/>
    <w:rsid w:val="00884C0E"/>
    <w:rsid w:val="00884CB4"/>
    <w:rsid w:val="00884E51"/>
    <w:rsid w:val="00884FE6"/>
    <w:rsid w:val="00885CAE"/>
    <w:rsid w:val="00885E17"/>
    <w:rsid w:val="00885FC2"/>
    <w:rsid w:val="008860CC"/>
    <w:rsid w:val="00886CB7"/>
    <w:rsid w:val="00886D4E"/>
    <w:rsid w:val="008870B3"/>
    <w:rsid w:val="0088780F"/>
    <w:rsid w:val="00887A91"/>
    <w:rsid w:val="00887CEB"/>
    <w:rsid w:val="0089017C"/>
    <w:rsid w:val="008903FB"/>
    <w:rsid w:val="00890BEB"/>
    <w:rsid w:val="00891346"/>
    <w:rsid w:val="00891CDA"/>
    <w:rsid w:val="00891D6F"/>
    <w:rsid w:val="00891E10"/>
    <w:rsid w:val="00892841"/>
    <w:rsid w:val="00892898"/>
    <w:rsid w:val="008928C6"/>
    <w:rsid w:val="008929C9"/>
    <w:rsid w:val="00892B50"/>
    <w:rsid w:val="008930A4"/>
    <w:rsid w:val="00893101"/>
    <w:rsid w:val="00893225"/>
    <w:rsid w:val="00893A94"/>
    <w:rsid w:val="00893B13"/>
    <w:rsid w:val="00893C8C"/>
    <w:rsid w:val="00894417"/>
    <w:rsid w:val="0089449E"/>
    <w:rsid w:val="0089456A"/>
    <w:rsid w:val="0089468A"/>
    <w:rsid w:val="008949EF"/>
    <w:rsid w:val="008952F3"/>
    <w:rsid w:val="0089548F"/>
    <w:rsid w:val="00895527"/>
    <w:rsid w:val="008955A8"/>
    <w:rsid w:val="00895AC7"/>
    <w:rsid w:val="00895E29"/>
    <w:rsid w:val="0089647F"/>
    <w:rsid w:val="00896AE9"/>
    <w:rsid w:val="00896D1E"/>
    <w:rsid w:val="00896FAD"/>
    <w:rsid w:val="0089786D"/>
    <w:rsid w:val="00897936"/>
    <w:rsid w:val="008A00D2"/>
    <w:rsid w:val="008A0357"/>
    <w:rsid w:val="008A03E2"/>
    <w:rsid w:val="008A08FD"/>
    <w:rsid w:val="008A1526"/>
    <w:rsid w:val="008A15DB"/>
    <w:rsid w:val="008A17A1"/>
    <w:rsid w:val="008A1977"/>
    <w:rsid w:val="008A1CA2"/>
    <w:rsid w:val="008A1D4D"/>
    <w:rsid w:val="008A1DD4"/>
    <w:rsid w:val="008A1DD5"/>
    <w:rsid w:val="008A1FDD"/>
    <w:rsid w:val="008A201A"/>
    <w:rsid w:val="008A2465"/>
    <w:rsid w:val="008A256C"/>
    <w:rsid w:val="008A2852"/>
    <w:rsid w:val="008A2AF4"/>
    <w:rsid w:val="008A2C28"/>
    <w:rsid w:val="008A2DD7"/>
    <w:rsid w:val="008A351C"/>
    <w:rsid w:val="008A3B35"/>
    <w:rsid w:val="008A40A1"/>
    <w:rsid w:val="008A4139"/>
    <w:rsid w:val="008A4323"/>
    <w:rsid w:val="008A45C1"/>
    <w:rsid w:val="008A46D1"/>
    <w:rsid w:val="008A4964"/>
    <w:rsid w:val="008A4C3C"/>
    <w:rsid w:val="008A4DF9"/>
    <w:rsid w:val="008A4E5C"/>
    <w:rsid w:val="008A517C"/>
    <w:rsid w:val="008A51D1"/>
    <w:rsid w:val="008A52C8"/>
    <w:rsid w:val="008A5AEF"/>
    <w:rsid w:val="008A5E56"/>
    <w:rsid w:val="008A63B9"/>
    <w:rsid w:val="008A70F4"/>
    <w:rsid w:val="008A7697"/>
    <w:rsid w:val="008A7745"/>
    <w:rsid w:val="008A7B18"/>
    <w:rsid w:val="008A7E9E"/>
    <w:rsid w:val="008A7EB5"/>
    <w:rsid w:val="008B0487"/>
    <w:rsid w:val="008B0646"/>
    <w:rsid w:val="008B0CB1"/>
    <w:rsid w:val="008B0EC4"/>
    <w:rsid w:val="008B18D4"/>
    <w:rsid w:val="008B1940"/>
    <w:rsid w:val="008B1E65"/>
    <w:rsid w:val="008B1FEE"/>
    <w:rsid w:val="008B23DC"/>
    <w:rsid w:val="008B2817"/>
    <w:rsid w:val="008B2867"/>
    <w:rsid w:val="008B2B54"/>
    <w:rsid w:val="008B2CA0"/>
    <w:rsid w:val="008B2CB4"/>
    <w:rsid w:val="008B2DC6"/>
    <w:rsid w:val="008B307A"/>
    <w:rsid w:val="008B36AD"/>
    <w:rsid w:val="008B4358"/>
    <w:rsid w:val="008B44C4"/>
    <w:rsid w:val="008B468E"/>
    <w:rsid w:val="008B4972"/>
    <w:rsid w:val="008B512F"/>
    <w:rsid w:val="008B517D"/>
    <w:rsid w:val="008B55BE"/>
    <w:rsid w:val="008B57AA"/>
    <w:rsid w:val="008B57E8"/>
    <w:rsid w:val="008B58AF"/>
    <w:rsid w:val="008B597B"/>
    <w:rsid w:val="008B5F6C"/>
    <w:rsid w:val="008B62C9"/>
    <w:rsid w:val="008B6862"/>
    <w:rsid w:val="008B6F06"/>
    <w:rsid w:val="008B70BC"/>
    <w:rsid w:val="008B7E06"/>
    <w:rsid w:val="008B7EF2"/>
    <w:rsid w:val="008C0444"/>
    <w:rsid w:val="008C0588"/>
    <w:rsid w:val="008C0F1A"/>
    <w:rsid w:val="008C102A"/>
    <w:rsid w:val="008C103B"/>
    <w:rsid w:val="008C137C"/>
    <w:rsid w:val="008C157A"/>
    <w:rsid w:val="008C179F"/>
    <w:rsid w:val="008C1B8A"/>
    <w:rsid w:val="008C1D02"/>
    <w:rsid w:val="008C1FD7"/>
    <w:rsid w:val="008C20A0"/>
    <w:rsid w:val="008C21B7"/>
    <w:rsid w:val="008C22F1"/>
    <w:rsid w:val="008C2379"/>
    <w:rsid w:val="008C2575"/>
    <w:rsid w:val="008C2661"/>
    <w:rsid w:val="008C2734"/>
    <w:rsid w:val="008C28F3"/>
    <w:rsid w:val="008C33C8"/>
    <w:rsid w:val="008C3519"/>
    <w:rsid w:val="008C377C"/>
    <w:rsid w:val="008C38C0"/>
    <w:rsid w:val="008C41AD"/>
    <w:rsid w:val="008C4550"/>
    <w:rsid w:val="008C456F"/>
    <w:rsid w:val="008C4E2E"/>
    <w:rsid w:val="008C5555"/>
    <w:rsid w:val="008C5B89"/>
    <w:rsid w:val="008C5E3C"/>
    <w:rsid w:val="008C6B23"/>
    <w:rsid w:val="008C6CE9"/>
    <w:rsid w:val="008C7013"/>
    <w:rsid w:val="008C7394"/>
    <w:rsid w:val="008C73EC"/>
    <w:rsid w:val="008C75A7"/>
    <w:rsid w:val="008C792A"/>
    <w:rsid w:val="008C7B89"/>
    <w:rsid w:val="008C7F97"/>
    <w:rsid w:val="008D01B9"/>
    <w:rsid w:val="008D03FB"/>
    <w:rsid w:val="008D0D3F"/>
    <w:rsid w:val="008D0E74"/>
    <w:rsid w:val="008D146A"/>
    <w:rsid w:val="008D1809"/>
    <w:rsid w:val="008D18B0"/>
    <w:rsid w:val="008D1D76"/>
    <w:rsid w:val="008D2747"/>
    <w:rsid w:val="008D390E"/>
    <w:rsid w:val="008D3EF1"/>
    <w:rsid w:val="008D3F17"/>
    <w:rsid w:val="008D426D"/>
    <w:rsid w:val="008D4460"/>
    <w:rsid w:val="008D49CA"/>
    <w:rsid w:val="008D4D53"/>
    <w:rsid w:val="008D530E"/>
    <w:rsid w:val="008D5EF0"/>
    <w:rsid w:val="008D60EF"/>
    <w:rsid w:val="008D62ED"/>
    <w:rsid w:val="008D63BE"/>
    <w:rsid w:val="008D66EC"/>
    <w:rsid w:val="008D6A94"/>
    <w:rsid w:val="008D6B34"/>
    <w:rsid w:val="008D6DCA"/>
    <w:rsid w:val="008D6DE3"/>
    <w:rsid w:val="008D6F39"/>
    <w:rsid w:val="008D78DE"/>
    <w:rsid w:val="008E015C"/>
    <w:rsid w:val="008E01E0"/>
    <w:rsid w:val="008E02E1"/>
    <w:rsid w:val="008E0610"/>
    <w:rsid w:val="008E0694"/>
    <w:rsid w:val="008E0717"/>
    <w:rsid w:val="008E0B8B"/>
    <w:rsid w:val="008E0C83"/>
    <w:rsid w:val="008E0CC2"/>
    <w:rsid w:val="008E0EB6"/>
    <w:rsid w:val="008E10FC"/>
    <w:rsid w:val="008E1D6F"/>
    <w:rsid w:val="008E220F"/>
    <w:rsid w:val="008E267F"/>
    <w:rsid w:val="008E27DE"/>
    <w:rsid w:val="008E299C"/>
    <w:rsid w:val="008E2BCC"/>
    <w:rsid w:val="008E3077"/>
    <w:rsid w:val="008E30CF"/>
    <w:rsid w:val="008E369E"/>
    <w:rsid w:val="008E3771"/>
    <w:rsid w:val="008E383B"/>
    <w:rsid w:val="008E3E2C"/>
    <w:rsid w:val="008E4133"/>
    <w:rsid w:val="008E433C"/>
    <w:rsid w:val="008E481B"/>
    <w:rsid w:val="008E4CCB"/>
    <w:rsid w:val="008E4FFA"/>
    <w:rsid w:val="008E577C"/>
    <w:rsid w:val="008E5887"/>
    <w:rsid w:val="008E63E0"/>
    <w:rsid w:val="008E641A"/>
    <w:rsid w:val="008E70F6"/>
    <w:rsid w:val="008E7649"/>
    <w:rsid w:val="008E77F2"/>
    <w:rsid w:val="008E7D20"/>
    <w:rsid w:val="008F0E28"/>
    <w:rsid w:val="008F0F3C"/>
    <w:rsid w:val="008F10F8"/>
    <w:rsid w:val="008F1231"/>
    <w:rsid w:val="008F1300"/>
    <w:rsid w:val="008F1563"/>
    <w:rsid w:val="008F18CA"/>
    <w:rsid w:val="008F1AB0"/>
    <w:rsid w:val="008F1EA4"/>
    <w:rsid w:val="008F2666"/>
    <w:rsid w:val="008F286E"/>
    <w:rsid w:val="008F2B09"/>
    <w:rsid w:val="008F35B5"/>
    <w:rsid w:val="008F3778"/>
    <w:rsid w:val="008F3817"/>
    <w:rsid w:val="008F4146"/>
    <w:rsid w:val="008F45BE"/>
    <w:rsid w:val="008F4B49"/>
    <w:rsid w:val="008F4BE6"/>
    <w:rsid w:val="008F5026"/>
    <w:rsid w:val="008F5345"/>
    <w:rsid w:val="008F5464"/>
    <w:rsid w:val="008F54C1"/>
    <w:rsid w:val="008F54F0"/>
    <w:rsid w:val="008F5A6E"/>
    <w:rsid w:val="008F5CE6"/>
    <w:rsid w:val="008F60D5"/>
    <w:rsid w:val="008F6214"/>
    <w:rsid w:val="008F62A1"/>
    <w:rsid w:val="008F67C4"/>
    <w:rsid w:val="008F67CF"/>
    <w:rsid w:val="008F6DBC"/>
    <w:rsid w:val="008F6EE6"/>
    <w:rsid w:val="008F71BD"/>
    <w:rsid w:val="008F7378"/>
    <w:rsid w:val="008F773C"/>
    <w:rsid w:val="008F78D6"/>
    <w:rsid w:val="008F79A0"/>
    <w:rsid w:val="0090006C"/>
    <w:rsid w:val="00900B03"/>
    <w:rsid w:val="00901145"/>
    <w:rsid w:val="00901D4A"/>
    <w:rsid w:val="0090234B"/>
    <w:rsid w:val="009023F9"/>
    <w:rsid w:val="0090266F"/>
    <w:rsid w:val="00903515"/>
    <w:rsid w:val="009035B4"/>
    <w:rsid w:val="00903BCA"/>
    <w:rsid w:val="00904598"/>
    <w:rsid w:val="0090527B"/>
    <w:rsid w:val="00905620"/>
    <w:rsid w:val="00905743"/>
    <w:rsid w:val="00905ECE"/>
    <w:rsid w:val="00906333"/>
    <w:rsid w:val="00906371"/>
    <w:rsid w:val="009067C5"/>
    <w:rsid w:val="009067ED"/>
    <w:rsid w:val="00906BCE"/>
    <w:rsid w:val="0090760B"/>
    <w:rsid w:val="00907659"/>
    <w:rsid w:val="0090785F"/>
    <w:rsid w:val="00907923"/>
    <w:rsid w:val="00907EBE"/>
    <w:rsid w:val="009101B1"/>
    <w:rsid w:val="0091063B"/>
    <w:rsid w:val="00911075"/>
    <w:rsid w:val="009113E6"/>
    <w:rsid w:val="0091177F"/>
    <w:rsid w:val="00911945"/>
    <w:rsid w:val="00911DAF"/>
    <w:rsid w:val="00912637"/>
    <w:rsid w:val="00912804"/>
    <w:rsid w:val="009129D4"/>
    <w:rsid w:val="00912A27"/>
    <w:rsid w:val="00912A5B"/>
    <w:rsid w:val="00912A6C"/>
    <w:rsid w:val="00912DA6"/>
    <w:rsid w:val="00912DC5"/>
    <w:rsid w:val="009138B1"/>
    <w:rsid w:val="009139C5"/>
    <w:rsid w:val="00913CD1"/>
    <w:rsid w:val="00913D57"/>
    <w:rsid w:val="00913DE6"/>
    <w:rsid w:val="009144AF"/>
    <w:rsid w:val="009148D3"/>
    <w:rsid w:val="00914B4C"/>
    <w:rsid w:val="00915595"/>
    <w:rsid w:val="00915752"/>
    <w:rsid w:val="00915B47"/>
    <w:rsid w:val="00915D5A"/>
    <w:rsid w:val="00915E0D"/>
    <w:rsid w:val="00916472"/>
    <w:rsid w:val="0091685C"/>
    <w:rsid w:val="00916D7B"/>
    <w:rsid w:val="00916DF0"/>
    <w:rsid w:val="00916E29"/>
    <w:rsid w:val="0091705E"/>
    <w:rsid w:val="00917223"/>
    <w:rsid w:val="0092034C"/>
    <w:rsid w:val="009207E8"/>
    <w:rsid w:val="00920943"/>
    <w:rsid w:val="0092105F"/>
    <w:rsid w:val="009214A4"/>
    <w:rsid w:val="0092153C"/>
    <w:rsid w:val="009215E6"/>
    <w:rsid w:val="00921E3B"/>
    <w:rsid w:val="009221D3"/>
    <w:rsid w:val="009225DB"/>
    <w:rsid w:val="0092328E"/>
    <w:rsid w:val="0092330C"/>
    <w:rsid w:val="00923568"/>
    <w:rsid w:val="009237C2"/>
    <w:rsid w:val="0092380A"/>
    <w:rsid w:val="00923902"/>
    <w:rsid w:val="009239E8"/>
    <w:rsid w:val="00923F5A"/>
    <w:rsid w:val="00924235"/>
    <w:rsid w:val="0092476E"/>
    <w:rsid w:val="00925205"/>
    <w:rsid w:val="009253D8"/>
    <w:rsid w:val="009257EF"/>
    <w:rsid w:val="00926664"/>
    <w:rsid w:val="009267EF"/>
    <w:rsid w:val="009268FC"/>
    <w:rsid w:val="00926A7D"/>
    <w:rsid w:val="00926F3B"/>
    <w:rsid w:val="009272DD"/>
    <w:rsid w:val="009278CF"/>
    <w:rsid w:val="00927921"/>
    <w:rsid w:val="009279CD"/>
    <w:rsid w:val="00927A35"/>
    <w:rsid w:val="00927C3C"/>
    <w:rsid w:val="00927E1F"/>
    <w:rsid w:val="00930096"/>
    <w:rsid w:val="00930D87"/>
    <w:rsid w:val="00931089"/>
    <w:rsid w:val="0093111B"/>
    <w:rsid w:val="0093178B"/>
    <w:rsid w:val="0093218B"/>
    <w:rsid w:val="00932612"/>
    <w:rsid w:val="0093266A"/>
    <w:rsid w:val="0093278B"/>
    <w:rsid w:val="00932822"/>
    <w:rsid w:val="00932828"/>
    <w:rsid w:val="009332E8"/>
    <w:rsid w:val="00933575"/>
    <w:rsid w:val="009338F8"/>
    <w:rsid w:val="00933DEB"/>
    <w:rsid w:val="00933EF0"/>
    <w:rsid w:val="009346B6"/>
    <w:rsid w:val="009348D9"/>
    <w:rsid w:val="00934C4D"/>
    <w:rsid w:val="00934C4F"/>
    <w:rsid w:val="009350C6"/>
    <w:rsid w:val="00935349"/>
    <w:rsid w:val="009353FA"/>
    <w:rsid w:val="009354D9"/>
    <w:rsid w:val="00935FEA"/>
    <w:rsid w:val="009365A5"/>
    <w:rsid w:val="00936F59"/>
    <w:rsid w:val="009370CE"/>
    <w:rsid w:val="00937272"/>
    <w:rsid w:val="00937317"/>
    <w:rsid w:val="009377C0"/>
    <w:rsid w:val="00937A99"/>
    <w:rsid w:val="009400BF"/>
    <w:rsid w:val="009409B6"/>
    <w:rsid w:val="00940B15"/>
    <w:rsid w:val="00940ED8"/>
    <w:rsid w:val="00941464"/>
    <w:rsid w:val="009414D7"/>
    <w:rsid w:val="009419CD"/>
    <w:rsid w:val="00941CB7"/>
    <w:rsid w:val="00942428"/>
    <w:rsid w:val="009429C4"/>
    <w:rsid w:val="00942C22"/>
    <w:rsid w:val="00942D96"/>
    <w:rsid w:val="00943159"/>
    <w:rsid w:val="009434B9"/>
    <w:rsid w:val="009434CE"/>
    <w:rsid w:val="009435BC"/>
    <w:rsid w:val="00943BC3"/>
    <w:rsid w:val="009444C2"/>
    <w:rsid w:val="00944673"/>
    <w:rsid w:val="00944751"/>
    <w:rsid w:val="009447E3"/>
    <w:rsid w:val="00944A91"/>
    <w:rsid w:val="0094500A"/>
    <w:rsid w:val="0094597B"/>
    <w:rsid w:val="00945F66"/>
    <w:rsid w:val="009462F5"/>
    <w:rsid w:val="0094635A"/>
    <w:rsid w:val="00946462"/>
    <w:rsid w:val="00946606"/>
    <w:rsid w:val="0094682C"/>
    <w:rsid w:val="009470DE"/>
    <w:rsid w:val="00947464"/>
    <w:rsid w:val="00947777"/>
    <w:rsid w:val="00947907"/>
    <w:rsid w:val="00947A68"/>
    <w:rsid w:val="00947D22"/>
    <w:rsid w:val="00950670"/>
    <w:rsid w:val="00952349"/>
    <w:rsid w:val="009529A0"/>
    <w:rsid w:val="00952E84"/>
    <w:rsid w:val="009530AE"/>
    <w:rsid w:val="00953574"/>
    <w:rsid w:val="0095371E"/>
    <w:rsid w:val="00953A30"/>
    <w:rsid w:val="0095418D"/>
    <w:rsid w:val="009543FF"/>
    <w:rsid w:val="00954A20"/>
    <w:rsid w:val="009551A2"/>
    <w:rsid w:val="009554F2"/>
    <w:rsid w:val="0095563D"/>
    <w:rsid w:val="0095568E"/>
    <w:rsid w:val="00955C65"/>
    <w:rsid w:val="00955E81"/>
    <w:rsid w:val="009564D1"/>
    <w:rsid w:val="00957622"/>
    <w:rsid w:val="00957CF8"/>
    <w:rsid w:val="00957EC2"/>
    <w:rsid w:val="0096028C"/>
    <w:rsid w:val="00960563"/>
    <w:rsid w:val="00960791"/>
    <w:rsid w:val="00960A3D"/>
    <w:rsid w:val="00960EA8"/>
    <w:rsid w:val="00960FA5"/>
    <w:rsid w:val="00961218"/>
    <w:rsid w:val="009613C1"/>
    <w:rsid w:val="009614F1"/>
    <w:rsid w:val="0096165E"/>
    <w:rsid w:val="009616E2"/>
    <w:rsid w:val="00961B9C"/>
    <w:rsid w:val="009622F3"/>
    <w:rsid w:val="00962304"/>
    <w:rsid w:val="00962B6C"/>
    <w:rsid w:val="0096301A"/>
    <w:rsid w:val="0096313F"/>
    <w:rsid w:val="00963479"/>
    <w:rsid w:val="00964337"/>
    <w:rsid w:val="00964389"/>
    <w:rsid w:val="00964467"/>
    <w:rsid w:val="009650EF"/>
    <w:rsid w:val="00965331"/>
    <w:rsid w:val="00966052"/>
    <w:rsid w:val="009661D0"/>
    <w:rsid w:val="00966C36"/>
    <w:rsid w:val="00967139"/>
    <w:rsid w:val="0096727A"/>
    <w:rsid w:val="00967773"/>
    <w:rsid w:val="0096781B"/>
    <w:rsid w:val="00967D09"/>
    <w:rsid w:val="00970377"/>
    <w:rsid w:val="00970392"/>
    <w:rsid w:val="00970FC6"/>
    <w:rsid w:val="0097157E"/>
    <w:rsid w:val="00971A21"/>
    <w:rsid w:val="00972054"/>
    <w:rsid w:val="00972C44"/>
    <w:rsid w:val="009733AE"/>
    <w:rsid w:val="00973545"/>
    <w:rsid w:val="00973CBA"/>
    <w:rsid w:val="00973F8E"/>
    <w:rsid w:val="0097465C"/>
    <w:rsid w:val="009746F4"/>
    <w:rsid w:val="00975A9A"/>
    <w:rsid w:val="0097673A"/>
    <w:rsid w:val="00976F7F"/>
    <w:rsid w:val="009770CC"/>
    <w:rsid w:val="00977365"/>
    <w:rsid w:val="00977ABA"/>
    <w:rsid w:val="00980128"/>
    <w:rsid w:val="009801FC"/>
    <w:rsid w:val="0098098C"/>
    <w:rsid w:val="00980EBD"/>
    <w:rsid w:val="009826D9"/>
    <w:rsid w:val="00983533"/>
    <w:rsid w:val="0098373B"/>
    <w:rsid w:val="0098393E"/>
    <w:rsid w:val="00983943"/>
    <w:rsid w:val="00983BF4"/>
    <w:rsid w:val="00983EBA"/>
    <w:rsid w:val="00983F8E"/>
    <w:rsid w:val="00984696"/>
    <w:rsid w:val="009846F6"/>
    <w:rsid w:val="00984892"/>
    <w:rsid w:val="00984D31"/>
    <w:rsid w:val="00984D7A"/>
    <w:rsid w:val="00984EE1"/>
    <w:rsid w:val="00984F46"/>
    <w:rsid w:val="009850B8"/>
    <w:rsid w:val="00985C15"/>
    <w:rsid w:val="00985F89"/>
    <w:rsid w:val="00986457"/>
    <w:rsid w:val="00986530"/>
    <w:rsid w:val="00986A78"/>
    <w:rsid w:val="00987332"/>
    <w:rsid w:val="0098777E"/>
    <w:rsid w:val="00987B7F"/>
    <w:rsid w:val="00987C13"/>
    <w:rsid w:val="0099008A"/>
    <w:rsid w:val="00990411"/>
    <w:rsid w:val="00990413"/>
    <w:rsid w:val="009906A4"/>
    <w:rsid w:val="00990EE0"/>
    <w:rsid w:val="00990FC4"/>
    <w:rsid w:val="009911FD"/>
    <w:rsid w:val="0099178E"/>
    <w:rsid w:val="00991CCA"/>
    <w:rsid w:val="00991D58"/>
    <w:rsid w:val="00992C39"/>
    <w:rsid w:val="00992C96"/>
    <w:rsid w:val="00993226"/>
    <w:rsid w:val="0099322F"/>
    <w:rsid w:val="00993A68"/>
    <w:rsid w:val="00993DE6"/>
    <w:rsid w:val="009945B3"/>
    <w:rsid w:val="00994831"/>
    <w:rsid w:val="00994CC6"/>
    <w:rsid w:val="00995180"/>
    <w:rsid w:val="00995427"/>
    <w:rsid w:val="0099549A"/>
    <w:rsid w:val="00995CEA"/>
    <w:rsid w:val="00995D5B"/>
    <w:rsid w:val="00995F52"/>
    <w:rsid w:val="009964BA"/>
    <w:rsid w:val="0099653D"/>
    <w:rsid w:val="009967CC"/>
    <w:rsid w:val="00996DE6"/>
    <w:rsid w:val="00997235"/>
    <w:rsid w:val="00997540"/>
    <w:rsid w:val="009976BD"/>
    <w:rsid w:val="00997F4F"/>
    <w:rsid w:val="009A09B7"/>
    <w:rsid w:val="009A0ECF"/>
    <w:rsid w:val="009A1119"/>
    <w:rsid w:val="009A1369"/>
    <w:rsid w:val="009A1547"/>
    <w:rsid w:val="009A177E"/>
    <w:rsid w:val="009A1A84"/>
    <w:rsid w:val="009A28BA"/>
    <w:rsid w:val="009A2FDC"/>
    <w:rsid w:val="009A35B0"/>
    <w:rsid w:val="009A35CA"/>
    <w:rsid w:val="009A4096"/>
    <w:rsid w:val="009A4B84"/>
    <w:rsid w:val="009A4E1D"/>
    <w:rsid w:val="009A5151"/>
    <w:rsid w:val="009A5310"/>
    <w:rsid w:val="009A58B0"/>
    <w:rsid w:val="009A5D7A"/>
    <w:rsid w:val="009A5F87"/>
    <w:rsid w:val="009A5F8E"/>
    <w:rsid w:val="009A62F4"/>
    <w:rsid w:val="009A6C43"/>
    <w:rsid w:val="009A6F6B"/>
    <w:rsid w:val="009A6FFE"/>
    <w:rsid w:val="009A774C"/>
    <w:rsid w:val="009A7C0B"/>
    <w:rsid w:val="009A7CE0"/>
    <w:rsid w:val="009A7CFC"/>
    <w:rsid w:val="009B008F"/>
    <w:rsid w:val="009B0233"/>
    <w:rsid w:val="009B043E"/>
    <w:rsid w:val="009B06CF"/>
    <w:rsid w:val="009B0B9C"/>
    <w:rsid w:val="009B0BCE"/>
    <w:rsid w:val="009B0BD8"/>
    <w:rsid w:val="009B0BF5"/>
    <w:rsid w:val="009B0FD7"/>
    <w:rsid w:val="009B1134"/>
    <w:rsid w:val="009B1990"/>
    <w:rsid w:val="009B377B"/>
    <w:rsid w:val="009B3A98"/>
    <w:rsid w:val="009B3D5F"/>
    <w:rsid w:val="009B446F"/>
    <w:rsid w:val="009B4F17"/>
    <w:rsid w:val="009B4F9E"/>
    <w:rsid w:val="009B4FE5"/>
    <w:rsid w:val="009B5A8F"/>
    <w:rsid w:val="009B5D53"/>
    <w:rsid w:val="009B6113"/>
    <w:rsid w:val="009B6454"/>
    <w:rsid w:val="009B6501"/>
    <w:rsid w:val="009B6C22"/>
    <w:rsid w:val="009B6EFC"/>
    <w:rsid w:val="009B73AE"/>
    <w:rsid w:val="009B7771"/>
    <w:rsid w:val="009B78A4"/>
    <w:rsid w:val="009B7E53"/>
    <w:rsid w:val="009B7F61"/>
    <w:rsid w:val="009C0077"/>
    <w:rsid w:val="009C015B"/>
    <w:rsid w:val="009C01BD"/>
    <w:rsid w:val="009C01DD"/>
    <w:rsid w:val="009C06CE"/>
    <w:rsid w:val="009C1390"/>
    <w:rsid w:val="009C15E8"/>
    <w:rsid w:val="009C16CD"/>
    <w:rsid w:val="009C17E5"/>
    <w:rsid w:val="009C1A1A"/>
    <w:rsid w:val="009C22D6"/>
    <w:rsid w:val="009C2581"/>
    <w:rsid w:val="009C28A4"/>
    <w:rsid w:val="009C2B38"/>
    <w:rsid w:val="009C30CF"/>
    <w:rsid w:val="009C3444"/>
    <w:rsid w:val="009C385C"/>
    <w:rsid w:val="009C3C1A"/>
    <w:rsid w:val="009C4096"/>
    <w:rsid w:val="009C4947"/>
    <w:rsid w:val="009C4C59"/>
    <w:rsid w:val="009C5383"/>
    <w:rsid w:val="009C539A"/>
    <w:rsid w:val="009C53D5"/>
    <w:rsid w:val="009C5643"/>
    <w:rsid w:val="009C5B64"/>
    <w:rsid w:val="009C5E7B"/>
    <w:rsid w:val="009C6040"/>
    <w:rsid w:val="009C623B"/>
    <w:rsid w:val="009C6BF6"/>
    <w:rsid w:val="009C6C0E"/>
    <w:rsid w:val="009C6C69"/>
    <w:rsid w:val="009C6D9F"/>
    <w:rsid w:val="009C7264"/>
    <w:rsid w:val="009C72FB"/>
    <w:rsid w:val="009C7783"/>
    <w:rsid w:val="009C7897"/>
    <w:rsid w:val="009C7BC8"/>
    <w:rsid w:val="009D032A"/>
    <w:rsid w:val="009D04C7"/>
    <w:rsid w:val="009D05F9"/>
    <w:rsid w:val="009D08B1"/>
    <w:rsid w:val="009D0ADE"/>
    <w:rsid w:val="009D0B13"/>
    <w:rsid w:val="009D20E0"/>
    <w:rsid w:val="009D315F"/>
    <w:rsid w:val="009D33C3"/>
    <w:rsid w:val="009D3A1D"/>
    <w:rsid w:val="009D3FF3"/>
    <w:rsid w:val="009D424A"/>
    <w:rsid w:val="009D471A"/>
    <w:rsid w:val="009D4D91"/>
    <w:rsid w:val="009D4EFF"/>
    <w:rsid w:val="009D5361"/>
    <w:rsid w:val="009D564A"/>
    <w:rsid w:val="009D641B"/>
    <w:rsid w:val="009D67EF"/>
    <w:rsid w:val="009D6D1E"/>
    <w:rsid w:val="009D6E84"/>
    <w:rsid w:val="009D73F2"/>
    <w:rsid w:val="009D7B22"/>
    <w:rsid w:val="009D7E09"/>
    <w:rsid w:val="009E00C8"/>
    <w:rsid w:val="009E04D4"/>
    <w:rsid w:val="009E0708"/>
    <w:rsid w:val="009E095D"/>
    <w:rsid w:val="009E100C"/>
    <w:rsid w:val="009E1296"/>
    <w:rsid w:val="009E1888"/>
    <w:rsid w:val="009E19E0"/>
    <w:rsid w:val="009E1E01"/>
    <w:rsid w:val="009E22FD"/>
    <w:rsid w:val="009E2416"/>
    <w:rsid w:val="009E2AC9"/>
    <w:rsid w:val="009E2B1B"/>
    <w:rsid w:val="009E2FF5"/>
    <w:rsid w:val="009E3D4A"/>
    <w:rsid w:val="009E4841"/>
    <w:rsid w:val="009E4D8C"/>
    <w:rsid w:val="009E4FC9"/>
    <w:rsid w:val="009E561F"/>
    <w:rsid w:val="009E6502"/>
    <w:rsid w:val="009E655A"/>
    <w:rsid w:val="009E6EA2"/>
    <w:rsid w:val="009E79A0"/>
    <w:rsid w:val="009E7ABF"/>
    <w:rsid w:val="009F000F"/>
    <w:rsid w:val="009F0146"/>
    <w:rsid w:val="009F1934"/>
    <w:rsid w:val="009F1B0D"/>
    <w:rsid w:val="009F1F30"/>
    <w:rsid w:val="009F224F"/>
    <w:rsid w:val="009F2467"/>
    <w:rsid w:val="009F2A02"/>
    <w:rsid w:val="009F2A77"/>
    <w:rsid w:val="009F3414"/>
    <w:rsid w:val="009F368A"/>
    <w:rsid w:val="009F3D2F"/>
    <w:rsid w:val="009F3FBC"/>
    <w:rsid w:val="009F446F"/>
    <w:rsid w:val="009F4515"/>
    <w:rsid w:val="009F4BB8"/>
    <w:rsid w:val="009F5231"/>
    <w:rsid w:val="009F587F"/>
    <w:rsid w:val="009F59B1"/>
    <w:rsid w:val="009F5CDC"/>
    <w:rsid w:val="009F5D43"/>
    <w:rsid w:val="009F6020"/>
    <w:rsid w:val="009F6618"/>
    <w:rsid w:val="009F6877"/>
    <w:rsid w:val="009F6893"/>
    <w:rsid w:val="009F6DAD"/>
    <w:rsid w:val="009F6FCB"/>
    <w:rsid w:val="009F70F9"/>
    <w:rsid w:val="009F7710"/>
    <w:rsid w:val="009F7CAC"/>
    <w:rsid w:val="00A002FD"/>
    <w:rsid w:val="00A0046D"/>
    <w:rsid w:val="00A01161"/>
    <w:rsid w:val="00A012BB"/>
    <w:rsid w:val="00A014C3"/>
    <w:rsid w:val="00A0171C"/>
    <w:rsid w:val="00A01A51"/>
    <w:rsid w:val="00A01A6F"/>
    <w:rsid w:val="00A0260A"/>
    <w:rsid w:val="00A0268A"/>
    <w:rsid w:val="00A02AE2"/>
    <w:rsid w:val="00A032D3"/>
    <w:rsid w:val="00A038CC"/>
    <w:rsid w:val="00A044A1"/>
    <w:rsid w:val="00A05136"/>
    <w:rsid w:val="00A05F06"/>
    <w:rsid w:val="00A06219"/>
    <w:rsid w:val="00A0757A"/>
    <w:rsid w:val="00A075A3"/>
    <w:rsid w:val="00A0763F"/>
    <w:rsid w:val="00A07AB9"/>
    <w:rsid w:val="00A07AE9"/>
    <w:rsid w:val="00A07B29"/>
    <w:rsid w:val="00A1024C"/>
    <w:rsid w:val="00A102B1"/>
    <w:rsid w:val="00A1096A"/>
    <w:rsid w:val="00A109A0"/>
    <w:rsid w:val="00A10E5C"/>
    <w:rsid w:val="00A11547"/>
    <w:rsid w:val="00A115E1"/>
    <w:rsid w:val="00A11911"/>
    <w:rsid w:val="00A11A8E"/>
    <w:rsid w:val="00A11DBB"/>
    <w:rsid w:val="00A12169"/>
    <w:rsid w:val="00A122B0"/>
    <w:rsid w:val="00A122BF"/>
    <w:rsid w:val="00A12FAC"/>
    <w:rsid w:val="00A1321B"/>
    <w:rsid w:val="00A133FF"/>
    <w:rsid w:val="00A1393D"/>
    <w:rsid w:val="00A13CA8"/>
    <w:rsid w:val="00A13E0A"/>
    <w:rsid w:val="00A13FEF"/>
    <w:rsid w:val="00A14012"/>
    <w:rsid w:val="00A147EB"/>
    <w:rsid w:val="00A14992"/>
    <w:rsid w:val="00A14D22"/>
    <w:rsid w:val="00A14D61"/>
    <w:rsid w:val="00A14DF6"/>
    <w:rsid w:val="00A1576A"/>
    <w:rsid w:val="00A157AC"/>
    <w:rsid w:val="00A158D2"/>
    <w:rsid w:val="00A1660B"/>
    <w:rsid w:val="00A16640"/>
    <w:rsid w:val="00A16855"/>
    <w:rsid w:val="00A168F1"/>
    <w:rsid w:val="00A169B3"/>
    <w:rsid w:val="00A17464"/>
    <w:rsid w:val="00A1783D"/>
    <w:rsid w:val="00A178DB"/>
    <w:rsid w:val="00A2001F"/>
    <w:rsid w:val="00A20098"/>
    <w:rsid w:val="00A200FD"/>
    <w:rsid w:val="00A206A9"/>
    <w:rsid w:val="00A20828"/>
    <w:rsid w:val="00A20D6C"/>
    <w:rsid w:val="00A21058"/>
    <w:rsid w:val="00A21148"/>
    <w:rsid w:val="00A21583"/>
    <w:rsid w:val="00A219FD"/>
    <w:rsid w:val="00A21D83"/>
    <w:rsid w:val="00A2205A"/>
    <w:rsid w:val="00A2239A"/>
    <w:rsid w:val="00A22F58"/>
    <w:rsid w:val="00A23263"/>
    <w:rsid w:val="00A23358"/>
    <w:rsid w:val="00A2369F"/>
    <w:rsid w:val="00A23A9F"/>
    <w:rsid w:val="00A24335"/>
    <w:rsid w:val="00A247C5"/>
    <w:rsid w:val="00A24BBA"/>
    <w:rsid w:val="00A24CB8"/>
    <w:rsid w:val="00A24E81"/>
    <w:rsid w:val="00A24F45"/>
    <w:rsid w:val="00A252AE"/>
    <w:rsid w:val="00A253AC"/>
    <w:rsid w:val="00A257D1"/>
    <w:rsid w:val="00A25DEF"/>
    <w:rsid w:val="00A26093"/>
    <w:rsid w:val="00A26170"/>
    <w:rsid w:val="00A26177"/>
    <w:rsid w:val="00A26323"/>
    <w:rsid w:val="00A263EB"/>
    <w:rsid w:val="00A26A18"/>
    <w:rsid w:val="00A26A4C"/>
    <w:rsid w:val="00A2709E"/>
    <w:rsid w:val="00A27142"/>
    <w:rsid w:val="00A2752C"/>
    <w:rsid w:val="00A27792"/>
    <w:rsid w:val="00A27896"/>
    <w:rsid w:val="00A30290"/>
    <w:rsid w:val="00A3053B"/>
    <w:rsid w:val="00A30613"/>
    <w:rsid w:val="00A30AA2"/>
    <w:rsid w:val="00A31DBF"/>
    <w:rsid w:val="00A31E63"/>
    <w:rsid w:val="00A32465"/>
    <w:rsid w:val="00A32625"/>
    <w:rsid w:val="00A331C8"/>
    <w:rsid w:val="00A3330A"/>
    <w:rsid w:val="00A3374E"/>
    <w:rsid w:val="00A337C0"/>
    <w:rsid w:val="00A33B0C"/>
    <w:rsid w:val="00A33BD1"/>
    <w:rsid w:val="00A33FED"/>
    <w:rsid w:val="00A3414F"/>
    <w:rsid w:val="00A348A3"/>
    <w:rsid w:val="00A3499F"/>
    <w:rsid w:val="00A3558D"/>
    <w:rsid w:val="00A35BDE"/>
    <w:rsid w:val="00A35E05"/>
    <w:rsid w:val="00A35E90"/>
    <w:rsid w:val="00A35F5A"/>
    <w:rsid w:val="00A35FE9"/>
    <w:rsid w:val="00A369EF"/>
    <w:rsid w:val="00A37007"/>
    <w:rsid w:val="00A37866"/>
    <w:rsid w:val="00A37999"/>
    <w:rsid w:val="00A379C7"/>
    <w:rsid w:val="00A37C7C"/>
    <w:rsid w:val="00A408C8"/>
    <w:rsid w:val="00A40BAA"/>
    <w:rsid w:val="00A40F85"/>
    <w:rsid w:val="00A40F94"/>
    <w:rsid w:val="00A416C1"/>
    <w:rsid w:val="00A41924"/>
    <w:rsid w:val="00A41A3C"/>
    <w:rsid w:val="00A423B0"/>
    <w:rsid w:val="00A42667"/>
    <w:rsid w:val="00A42F5B"/>
    <w:rsid w:val="00A431BA"/>
    <w:rsid w:val="00A43499"/>
    <w:rsid w:val="00A43EC7"/>
    <w:rsid w:val="00A44216"/>
    <w:rsid w:val="00A44409"/>
    <w:rsid w:val="00A4457E"/>
    <w:rsid w:val="00A44871"/>
    <w:rsid w:val="00A44E6D"/>
    <w:rsid w:val="00A45015"/>
    <w:rsid w:val="00A4505B"/>
    <w:rsid w:val="00A4537B"/>
    <w:rsid w:val="00A453B0"/>
    <w:rsid w:val="00A454FC"/>
    <w:rsid w:val="00A4565F"/>
    <w:rsid w:val="00A45846"/>
    <w:rsid w:val="00A45EF0"/>
    <w:rsid w:val="00A45F6E"/>
    <w:rsid w:val="00A46195"/>
    <w:rsid w:val="00A46A4C"/>
    <w:rsid w:val="00A46E0B"/>
    <w:rsid w:val="00A4766A"/>
    <w:rsid w:val="00A502BA"/>
    <w:rsid w:val="00A50371"/>
    <w:rsid w:val="00A505C0"/>
    <w:rsid w:val="00A5060F"/>
    <w:rsid w:val="00A50660"/>
    <w:rsid w:val="00A50681"/>
    <w:rsid w:val="00A5082F"/>
    <w:rsid w:val="00A508DC"/>
    <w:rsid w:val="00A510DE"/>
    <w:rsid w:val="00A51B2A"/>
    <w:rsid w:val="00A51B53"/>
    <w:rsid w:val="00A521C1"/>
    <w:rsid w:val="00A522B0"/>
    <w:rsid w:val="00A5235B"/>
    <w:rsid w:val="00A52966"/>
    <w:rsid w:val="00A52B98"/>
    <w:rsid w:val="00A5372B"/>
    <w:rsid w:val="00A545BF"/>
    <w:rsid w:val="00A54B50"/>
    <w:rsid w:val="00A54D6B"/>
    <w:rsid w:val="00A550B8"/>
    <w:rsid w:val="00A55A10"/>
    <w:rsid w:val="00A55DC8"/>
    <w:rsid w:val="00A55ED3"/>
    <w:rsid w:val="00A5632B"/>
    <w:rsid w:val="00A563D3"/>
    <w:rsid w:val="00A56579"/>
    <w:rsid w:val="00A56726"/>
    <w:rsid w:val="00A56765"/>
    <w:rsid w:val="00A56AC5"/>
    <w:rsid w:val="00A574F0"/>
    <w:rsid w:val="00A57755"/>
    <w:rsid w:val="00A57B63"/>
    <w:rsid w:val="00A57BA9"/>
    <w:rsid w:val="00A60132"/>
    <w:rsid w:val="00A60939"/>
    <w:rsid w:val="00A60A0F"/>
    <w:rsid w:val="00A60A69"/>
    <w:rsid w:val="00A617E7"/>
    <w:rsid w:val="00A619F3"/>
    <w:rsid w:val="00A61DC9"/>
    <w:rsid w:val="00A61F1E"/>
    <w:rsid w:val="00A61F43"/>
    <w:rsid w:val="00A62ED1"/>
    <w:rsid w:val="00A633E0"/>
    <w:rsid w:val="00A63601"/>
    <w:rsid w:val="00A63B2D"/>
    <w:rsid w:val="00A63D29"/>
    <w:rsid w:val="00A6404F"/>
    <w:rsid w:val="00A640B5"/>
    <w:rsid w:val="00A64426"/>
    <w:rsid w:val="00A64468"/>
    <w:rsid w:val="00A64728"/>
    <w:rsid w:val="00A64904"/>
    <w:rsid w:val="00A64C1C"/>
    <w:rsid w:val="00A64CBA"/>
    <w:rsid w:val="00A64E4E"/>
    <w:rsid w:val="00A659D8"/>
    <w:rsid w:val="00A65AFA"/>
    <w:rsid w:val="00A65B38"/>
    <w:rsid w:val="00A65E89"/>
    <w:rsid w:val="00A66603"/>
    <w:rsid w:val="00A66D4C"/>
    <w:rsid w:val="00A67379"/>
    <w:rsid w:val="00A67676"/>
    <w:rsid w:val="00A67BCA"/>
    <w:rsid w:val="00A67CCE"/>
    <w:rsid w:val="00A70EBC"/>
    <w:rsid w:val="00A70FE3"/>
    <w:rsid w:val="00A710D0"/>
    <w:rsid w:val="00A7118D"/>
    <w:rsid w:val="00A71339"/>
    <w:rsid w:val="00A7135B"/>
    <w:rsid w:val="00A71759"/>
    <w:rsid w:val="00A71A83"/>
    <w:rsid w:val="00A72091"/>
    <w:rsid w:val="00A723BF"/>
    <w:rsid w:val="00A72469"/>
    <w:rsid w:val="00A72829"/>
    <w:rsid w:val="00A72BFA"/>
    <w:rsid w:val="00A72CAF"/>
    <w:rsid w:val="00A730EA"/>
    <w:rsid w:val="00A73139"/>
    <w:rsid w:val="00A7374F"/>
    <w:rsid w:val="00A73894"/>
    <w:rsid w:val="00A73993"/>
    <w:rsid w:val="00A73BB9"/>
    <w:rsid w:val="00A73F82"/>
    <w:rsid w:val="00A742B1"/>
    <w:rsid w:val="00A74CDF"/>
    <w:rsid w:val="00A75408"/>
    <w:rsid w:val="00A75598"/>
    <w:rsid w:val="00A756D0"/>
    <w:rsid w:val="00A75BCB"/>
    <w:rsid w:val="00A75CC3"/>
    <w:rsid w:val="00A75F1D"/>
    <w:rsid w:val="00A75F8C"/>
    <w:rsid w:val="00A761CF"/>
    <w:rsid w:val="00A7631D"/>
    <w:rsid w:val="00A7667E"/>
    <w:rsid w:val="00A76D19"/>
    <w:rsid w:val="00A775E6"/>
    <w:rsid w:val="00A7768F"/>
    <w:rsid w:val="00A7771D"/>
    <w:rsid w:val="00A80BF6"/>
    <w:rsid w:val="00A80E98"/>
    <w:rsid w:val="00A81694"/>
    <w:rsid w:val="00A817CD"/>
    <w:rsid w:val="00A818A0"/>
    <w:rsid w:val="00A81935"/>
    <w:rsid w:val="00A82113"/>
    <w:rsid w:val="00A825A5"/>
    <w:rsid w:val="00A82899"/>
    <w:rsid w:val="00A82D87"/>
    <w:rsid w:val="00A83251"/>
    <w:rsid w:val="00A83ACB"/>
    <w:rsid w:val="00A844C2"/>
    <w:rsid w:val="00A84BBC"/>
    <w:rsid w:val="00A85698"/>
    <w:rsid w:val="00A859E4"/>
    <w:rsid w:val="00A85BDC"/>
    <w:rsid w:val="00A85C83"/>
    <w:rsid w:val="00A85CBA"/>
    <w:rsid w:val="00A861BB"/>
    <w:rsid w:val="00A8620B"/>
    <w:rsid w:val="00A866EE"/>
    <w:rsid w:val="00A8686B"/>
    <w:rsid w:val="00A875BA"/>
    <w:rsid w:val="00A875BE"/>
    <w:rsid w:val="00A87D9B"/>
    <w:rsid w:val="00A87DB4"/>
    <w:rsid w:val="00A901A1"/>
    <w:rsid w:val="00A9043C"/>
    <w:rsid w:val="00A90BEF"/>
    <w:rsid w:val="00A90D4F"/>
    <w:rsid w:val="00A90DF4"/>
    <w:rsid w:val="00A9166F"/>
    <w:rsid w:val="00A91DEE"/>
    <w:rsid w:val="00A92531"/>
    <w:rsid w:val="00A92A1A"/>
    <w:rsid w:val="00A937D2"/>
    <w:rsid w:val="00A94191"/>
    <w:rsid w:val="00A9428C"/>
    <w:rsid w:val="00A94A38"/>
    <w:rsid w:val="00A94E56"/>
    <w:rsid w:val="00A956DD"/>
    <w:rsid w:val="00A95A68"/>
    <w:rsid w:val="00A95ACC"/>
    <w:rsid w:val="00A95F24"/>
    <w:rsid w:val="00A96451"/>
    <w:rsid w:val="00A96524"/>
    <w:rsid w:val="00A9665E"/>
    <w:rsid w:val="00A96673"/>
    <w:rsid w:val="00A96DEB"/>
    <w:rsid w:val="00A96E97"/>
    <w:rsid w:val="00A96F5F"/>
    <w:rsid w:val="00A97168"/>
    <w:rsid w:val="00A9755C"/>
    <w:rsid w:val="00A978CC"/>
    <w:rsid w:val="00A97A15"/>
    <w:rsid w:val="00A97A3F"/>
    <w:rsid w:val="00A97BF0"/>
    <w:rsid w:val="00AA00E4"/>
    <w:rsid w:val="00AA0275"/>
    <w:rsid w:val="00AA04F7"/>
    <w:rsid w:val="00AA06BA"/>
    <w:rsid w:val="00AA0CBC"/>
    <w:rsid w:val="00AA0E60"/>
    <w:rsid w:val="00AA0EF1"/>
    <w:rsid w:val="00AA15D3"/>
    <w:rsid w:val="00AA1639"/>
    <w:rsid w:val="00AA165D"/>
    <w:rsid w:val="00AA1F49"/>
    <w:rsid w:val="00AA21D3"/>
    <w:rsid w:val="00AA2482"/>
    <w:rsid w:val="00AA25C1"/>
    <w:rsid w:val="00AA2EEE"/>
    <w:rsid w:val="00AA31A5"/>
    <w:rsid w:val="00AA3BB3"/>
    <w:rsid w:val="00AA42BD"/>
    <w:rsid w:val="00AA4F20"/>
    <w:rsid w:val="00AA617C"/>
    <w:rsid w:val="00AA626C"/>
    <w:rsid w:val="00AA65C9"/>
    <w:rsid w:val="00AA6BD8"/>
    <w:rsid w:val="00AA7B21"/>
    <w:rsid w:val="00AA7ED7"/>
    <w:rsid w:val="00AA7EE4"/>
    <w:rsid w:val="00AB0537"/>
    <w:rsid w:val="00AB06EC"/>
    <w:rsid w:val="00AB0845"/>
    <w:rsid w:val="00AB08D7"/>
    <w:rsid w:val="00AB0984"/>
    <w:rsid w:val="00AB0DC4"/>
    <w:rsid w:val="00AB0EFB"/>
    <w:rsid w:val="00AB28F6"/>
    <w:rsid w:val="00AB2949"/>
    <w:rsid w:val="00AB2B40"/>
    <w:rsid w:val="00AB2B51"/>
    <w:rsid w:val="00AB2C97"/>
    <w:rsid w:val="00AB304A"/>
    <w:rsid w:val="00AB331C"/>
    <w:rsid w:val="00AB34E3"/>
    <w:rsid w:val="00AB3533"/>
    <w:rsid w:val="00AB354B"/>
    <w:rsid w:val="00AB3B1C"/>
    <w:rsid w:val="00AB3B95"/>
    <w:rsid w:val="00AB45BE"/>
    <w:rsid w:val="00AB4670"/>
    <w:rsid w:val="00AB4835"/>
    <w:rsid w:val="00AB4A4E"/>
    <w:rsid w:val="00AB4CB4"/>
    <w:rsid w:val="00AB4DB7"/>
    <w:rsid w:val="00AB4EBF"/>
    <w:rsid w:val="00AB5709"/>
    <w:rsid w:val="00AB57DC"/>
    <w:rsid w:val="00AB592A"/>
    <w:rsid w:val="00AB5C1D"/>
    <w:rsid w:val="00AB5C38"/>
    <w:rsid w:val="00AB751C"/>
    <w:rsid w:val="00AB7625"/>
    <w:rsid w:val="00AB7910"/>
    <w:rsid w:val="00AB7C8E"/>
    <w:rsid w:val="00AC0214"/>
    <w:rsid w:val="00AC0251"/>
    <w:rsid w:val="00AC0646"/>
    <w:rsid w:val="00AC06D6"/>
    <w:rsid w:val="00AC0996"/>
    <w:rsid w:val="00AC0BA3"/>
    <w:rsid w:val="00AC0E98"/>
    <w:rsid w:val="00AC1341"/>
    <w:rsid w:val="00AC146B"/>
    <w:rsid w:val="00AC1919"/>
    <w:rsid w:val="00AC19A1"/>
    <w:rsid w:val="00AC1FB2"/>
    <w:rsid w:val="00AC24B4"/>
    <w:rsid w:val="00AC2A78"/>
    <w:rsid w:val="00AC2C4C"/>
    <w:rsid w:val="00AC2C5B"/>
    <w:rsid w:val="00AC2D57"/>
    <w:rsid w:val="00AC2DCB"/>
    <w:rsid w:val="00AC3531"/>
    <w:rsid w:val="00AC3665"/>
    <w:rsid w:val="00AC38A9"/>
    <w:rsid w:val="00AC3BC2"/>
    <w:rsid w:val="00AC40CC"/>
    <w:rsid w:val="00AC4122"/>
    <w:rsid w:val="00AC4C3A"/>
    <w:rsid w:val="00AC4DEF"/>
    <w:rsid w:val="00AC4F21"/>
    <w:rsid w:val="00AC4FD5"/>
    <w:rsid w:val="00AC4FF5"/>
    <w:rsid w:val="00AC547E"/>
    <w:rsid w:val="00AC54F6"/>
    <w:rsid w:val="00AC5642"/>
    <w:rsid w:val="00AC61B7"/>
    <w:rsid w:val="00AC6345"/>
    <w:rsid w:val="00AC656B"/>
    <w:rsid w:val="00AC67DD"/>
    <w:rsid w:val="00AC7039"/>
    <w:rsid w:val="00AC7174"/>
    <w:rsid w:val="00AC7595"/>
    <w:rsid w:val="00AC7801"/>
    <w:rsid w:val="00AC79F8"/>
    <w:rsid w:val="00AC7F37"/>
    <w:rsid w:val="00AD004B"/>
    <w:rsid w:val="00AD049F"/>
    <w:rsid w:val="00AD0C1E"/>
    <w:rsid w:val="00AD0E10"/>
    <w:rsid w:val="00AD12B8"/>
    <w:rsid w:val="00AD2D23"/>
    <w:rsid w:val="00AD2DBB"/>
    <w:rsid w:val="00AD2EFE"/>
    <w:rsid w:val="00AD317F"/>
    <w:rsid w:val="00AD4106"/>
    <w:rsid w:val="00AD4620"/>
    <w:rsid w:val="00AD4C1D"/>
    <w:rsid w:val="00AD5BF8"/>
    <w:rsid w:val="00AD5E5E"/>
    <w:rsid w:val="00AD602C"/>
    <w:rsid w:val="00AD6141"/>
    <w:rsid w:val="00AD62A3"/>
    <w:rsid w:val="00AD657D"/>
    <w:rsid w:val="00AD660E"/>
    <w:rsid w:val="00AD6D8B"/>
    <w:rsid w:val="00AD6FA9"/>
    <w:rsid w:val="00AD6FC8"/>
    <w:rsid w:val="00AD739E"/>
    <w:rsid w:val="00AD7C60"/>
    <w:rsid w:val="00AE013C"/>
    <w:rsid w:val="00AE0375"/>
    <w:rsid w:val="00AE044B"/>
    <w:rsid w:val="00AE061D"/>
    <w:rsid w:val="00AE06C9"/>
    <w:rsid w:val="00AE0777"/>
    <w:rsid w:val="00AE0879"/>
    <w:rsid w:val="00AE0B80"/>
    <w:rsid w:val="00AE137C"/>
    <w:rsid w:val="00AE13AD"/>
    <w:rsid w:val="00AE1601"/>
    <w:rsid w:val="00AE18EF"/>
    <w:rsid w:val="00AE20B3"/>
    <w:rsid w:val="00AE228C"/>
    <w:rsid w:val="00AE2757"/>
    <w:rsid w:val="00AE2DB2"/>
    <w:rsid w:val="00AE31F9"/>
    <w:rsid w:val="00AE3435"/>
    <w:rsid w:val="00AE34E1"/>
    <w:rsid w:val="00AE3C76"/>
    <w:rsid w:val="00AE3D7A"/>
    <w:rsid w:val="00AE4060"/>
    <w:rsid w:val="00AE4B0F"/>
    <w:rsid w:val="00AE4F52"/>
    <w:rsid w:val="00AE5F79"/>
    <w:rsid w:val="00AE6AA2"/>
    <w:rsid w:val="00AE6CA7"/>
    <w:rsid w:val="00AE7293"/>
    <w:rsid w:val="00AE761B"/>
    <w:rsid w:val="00AF0080"/>
    <w:rsid w:val="00AF020A"/>
    <w:rsid w:val="00AF0365"/>
    <w:rsid w:val="00AF0760"/>
    <w:rsid w:val="00AF0B54"/>
    <w:rsid w:val="00AF0D06"/>
    <w:rsid w:val="00AF0F01"/>
    <w:rsid w:val="00AF1227"/>
    <w:rsid w:val="00AF1AF2"/>
    <w:rsid w:val="00AF1E4E"/>
    <w:rsid w:val="00AF22DA"/>
    <w:rsid w:val="00AF306E"/>
    <w:rsid w:val="00AF3538"/>
    <w:rsid w:val="00AF387E"/>
    <w:rsid w:val="00AF39AD"/>
    <w:rsid w:val="00AF3B0A"/>
    <w:rsid w:val="00AF4055"/>
    <w:rsid w:val="00AF40DB"/>
    <w:rsid w:val="00AF4110"/>
    <w:rsid w:val="00AF45F2"/>
    <w:rsid w:val="00AF4672"/>
    <w:rsid w:val="00AF4A64"/>
    <w:rsid w:val="00AF550D"/>
    <w:rsid w:val="00AF5F2C"/>
    <w:rsid w:val="00AF6052"/>
    <w:rsid w:val="00AF614E"/>
    <w:rsid w:val="00AF638E"/>
    <w:rsid w:val="00AF63CB"/>
    <w:rsid w:val="00AF6717"/>
    <w:rsid w:val="00AF6DB5"/>
    <w:rsid w:val="00AF715D"/>
    <w:rsid w:val="00AF7FE0"/>
    <w:rsid w:val="00B001A4"/>
    <w:rsid w:val="00B00499"/>
    <w:rsid w:val="00B006BD"/>
    <w:rsid w:val="00B0084A"/>
    <w:rsid w:val="00B01065"/>
    <w:rsid w:val="00B01112"/>
    <w:rsid w:val="00B024DF"/>
    <w:rsid w:val="00B0257E"/>
    <w:rsid w:val="00B02B74"/>
    <w:rsid w:val="00B035BC"/>
    <w:rsid w:val="00B03661"/>
    <w:rsid w:val="00B03856"/>
    <w:rsid w:val="00B042C2"/>
    <w:rsid w:val="00B04665"/>
    <w:rsid w:val="00B04C1F"/>
    <w:rsid w:val="00B04C3B"/>
    <w:rsid w:val="00B04F8B"/>
    <w:rsid w:val="00B057B8"/>
    <w:rsid w:val="00B059B9"/>
    <w:rsid w:val="00B0678A"/>
    <w:rsid w:val="00B06859"/>
    <w:rsid w:val="00B06C77"/>
    <w:rsid w:val="00B0744B"/>
    <w:rsid w:val="00B07605"/>
    <w:rsid w:val="00B07B64"/>
    <w:rsid w:val="00B07BB2"/>
    <w:rsid w:val="00B101F3"/>
    <w:rsid w:val="00B10408"/>
    <w:rsid w:val="00B106E2"/>
    <w:rsid w:val="00B1097C"/>
    <w:rsid w:val="00B10DBF"/>
    <w:rsid w:val="00B10E4A"/>
    <w:rsid w:val="00B10FAB"/>
    <w:rsid w:val="00B110B4"/>
    <w:rsid w:val="00B114BF"/>
    <w:rsid w:val="00B116EF"/>
    <w:rsid w:val="00B11861"/>
    <w:rsid w:val="00B126D6"/>
    <w:rsid w:val="00B128F9"/>
    <w:rsid w:val="00B129C4"/>
    <w:rsid w:val="00B12C78"/>
    <w:rsid w:val="00B12EE3"/>
    <w:rsid w:val="00B13500"/>
    <w:rsid w:val="00B1373F"/>
    <w:rsid w:val="00B13C92"/>
    <w:rsid w:val="00B13D65"/>
    <w:rsid w:val="00B14227"/>
    <w:rsid w:val="00B14651"/>
    <w:rsid w:val="00B14738"/>
    <w:rsid w:val="00B14AF7"/>
    <w:rsid w:val="00B14F4E"/>
    <w:rsid w:val="00B15478"/>
    <w:rsid w:val="00B15797"/>
    <w:rsid w:val="00B15A5B"/>
    <w:rsid w:val="00B15B47"/>
    <w:rsid w:val="00B15FC9"/>
    <w:rsid w:val="00B166EB"/>
    <w:rsid w:val="00B168D1"/>
    <w:rsid w:val="00B16D40"/>
    <w:rsid w:val="00B16DA1"/>
    <w:rsid w:val="00B173D9"/>
    <w:rsid w:val="00B1741E"/>
    <w:rsid w:val="00B17F04"/>
    <w:rsid w:val="00B2013D"/>
    <w:rsid w:val="00B20236"/>
    <w:rsid w:val="00B202A7"/>
    <w:rsid w:val="00B203F9"/>
    <w:rsid w:val="00B20535"/>
    <w:rsid w:val="00B21592"/>
    <w:rsid w:val="00B21CDE"/>
    <w:rsid w:val="00B22497"/>
    <w:rsid w:val="00B22786"/>
    <w:rsid w:val="00B228A5"/>
    <w:rsid w:val="00B238C1"/>
    <w:rsid w:val="00B23E9D"/>
    <w:rsid w:val="00B24054"/>
    <w:rsid w:val="00B240CB"/>
    <w:rsid w:val="00B24453"/>
    <w:rsid w:val="00B244B9"/>
    <w:rsid w:val="00B24B62"/>
    <w:rsid w:val="00B24BE1"/>
    <w:rsid w:val="00B2536C"/>
    <w:rsid w:val="00B25A88"/>
    <w:rsid w:val="00B25D3C"/>
    <w:rsid w:val="00B2602A"/>
    <w:rsid w:val="00B260A5"/>
    <w:rsid w:val="00B26158"/>
    <w:rsid w:val="00B2621D"/>
    <w:rsid w:val="00B26A85"/>
    <w:rsid w:val="00B2708A"/>
    <w:rsid w:val="00B27DD2"/>
    <w:rsid w:val="00B317D1"/>
    <w:rsid w:val="00B31CAC"/>
    <w:rsid w:val="00B31E02"/>
    <w:rsid w:val="00B3330F"/>
    <w:rsid w:val="00B334A7"/>
    <w:rsid w:val="00B3359A"/>
    <w:rsid w:val="00B3372F"/>
    <w:rsid w:val="00B337F4"/>
    <w:rsid w:val="00B33B4C"/>
    <w:rsid w:val="00B34F9E"/>
    <w:rsid w:val="00B35048"/>
    <w:rsid w:val="00B35250"/>
    <w:rsid w:val="00B3582D"/>
    <w:rsid w:val="00B35926"/>
    <w:rsid w:val="00B359DB"/>
    <w:rsid w:val="00B35ABB"/>
    <w:rsid w:val="00B35BA6"/>
    <w:rsid w:val="00B361E0"/>
    <w:rsid w:val="00B3675A"/>
    <w:rsid w:val="00B36927"/>
    <w:rsid w:val="00B373FA"/>
    <w:rsid w:val="00B378AA"/>
    <w:rsid w:val="00B37963"/>
    <w:rsid w:val="00B37C4D"/>
    <w:rsid w:val="00B37D48"/>
    <w:rsid w:val="00B37E43"/>
    <w:rsid w:val="00B40734"/>
    <w:rsid w:val="00B40D66"/>
    <w:rsid w:val="00B410BA"/>
    <w:rsid w:val="00B41511"/>
    <w:rsid w:val="00B41998"/>
    <w:rsid w:val="00B41F4B"/>
    <w:rsid w:val="00B42035"/>
    <w:rsid w:val="00B4240B"/>
    <w:rsid w:val="00B42525"/>
    <w:rsid w:val="00B42526"/>
    <w:rsid w:val="00B42CB3"/>
    <w:rsid w:val="00B42D7C"/>
    <w:rsid w:val="00B42FED"/>
    <w:rsid w:val="00B4322C"/>
    <w:rsid w:val="00B4324C"/>
    <w:rsid w:val="00B43E18"/>
    <w:rsid w:val="00B43E91"/>
    <w:rsid w:val="00B444A9"/>
    <w:rsid w:val="00B44AE5"/>
    <w:rsid w:val="00B44D61"/>
    <w:rsid w:val="00B454F3"/>
    <w:rsid w:val="00B45A17"/>
    <w:rsid w:val="00B45E84"/>
    <w:rsid w:val="00B4650D"/>
    <w:rsid w:val="00B46571"/>
    <w:rsid w:val="00B4657C"/>
    <w:rsid w:val="00B4667D"/>
    <w:rsid w:val="00B466D1"/>
    <w:rsid w:val="00B4683D"/>
    <w:rsid w:val="00B46907"/>
    <w:rsid w:val="00B46B38"/>
    <w:rsid w:val="00B46C0D"/>
    <w:rsid w:val="00B46CC8"/>
    <w:rsid w:val="00B46D06"/>
    <w:rsid w:val="00B47381"/>
    <w:rsid w:val="00B47724"/>
    <w:rsid w:val="00B47839"/>
    <w:rsid w:val="00B47991"/>
    <w:rsid w:val="00B47E30"/>
    <w:rsid w:val="00B506D1"/>
    <w:rsid w:val="00B5074D"/>
    <w:rsid w:val="00B50CE6"/>
    <w:rsid w:val="00B510EC"/>
    <w:rsid w:val="00B5160D"/>
    <w:rsid w:val="00B51656"/>
    <w:rsid w:val="00B51745"/>
    <w:rsid w:val="00B51A4C"/>
    <w:rsid w:val="00B51B65"/>
    <w:rsid w:val="00B51E74"/>
    <w:rsid w:val="00B522E0"/>
    <w:rsid w:val="00B52359"/>
    <w:rsid w:val="00B5250D"/>
    <w:rsid w:val="00B5279D"/>
    <w:rsid w:val="00B52894"/>
    <w:rsid w:val="00B53506"/>
    <w:rsid w:val="00B5350C"/>
    <w:rsid w:val="00B536C4"/>
    <w:rsid w:val="00B53715"/>
    <w:rsid w:val="00B53D25"/>
    <w:rsid w:val="00B53DA1"/>
    <w:rsid w:val="00B53F14"/>
    <w:rsid w:val="00B551C4"/>
    <w:rsid w:val="00B553E8"/>
    <w:rsid w:val="00B554A0"/>
    <w:rsid w:val="00B55A94"/>
    <w:rsid w:val="00B55CD5"/>
    <w:rsid w:val="00B561B3"/>
    <w:rsid w:val="00B57550"/>
    <w:rsid w:val="00B57908"/>
    <w:rsid w:val="00B57CBD"/>
    <w:rsid w:val="00B57DC8"/>
    <w:rsid w:val="00B60447"/>
    <w:rsid w:val="00B60819"/>
    <w:rsid w:val="00B60887"/>
    <w:rsid w:val="00B609E0"/>
    <w:rsid w:val="00B61427"/>
    <w:rsid w:val="00B629E7"/>
    <w:rsid w:val="00B62ABF"/>
    <w:rsid w:val="00B62D32"/>
    <w:rsid w:val="00B63594"/>
    <w:rsid w:val="00B6383A"/>
    <w:rsid w:val="00B638C5"/>
    <w:rsid w:val="00B63E7F"/>
    <w:rsid w:val="00B640A0"/>
    <w:rsid w:val="00B6489E"/>
    <w:rsid w:val="00B6494F"/>
    <w:rsid w:val="00B64A1C"/>
    <w:rsid w:val="00B64E53"/>
    <w:rsid w:val="00B64EF0"/>
    <w:rsid w:val="00B658E6"/>
    <w:rsid w:val="00B6599C"/>
    <w:rsid w:val="00B665EE"/>
    <w:rsid w:val="00B666AB"/>
    <w:rsid w:val="00B66B42"/>
    <w:rsid w:val="00B66E89"/>
    <w:rsid w:val="00B6715C"/>
    <w:rsid w:val="00B677F3"/>
    <w:rsid w:val="00B67C95"/>
    <w:rsid w:val="00B7040F"/>
    <w:rsid w:val="00B709AD"/>
    <w:rsid w:val="00B70ED5"/>
    <w:rsid w:val="00B712A1"/>
    <w:rsid w:val="00B7139C"/>
    <w:rsid w:val="00B7171E"/>
    <w:rsid w:val="00B719F8"/>
    <w:rsid w:val="00B720D1"/>
    <w:rsid w:val="00B7220E"/>
    <w:rsid w:val="00B72C03"/>
    <w:rsid w:val="00B72C33"/>
    <w:rsid w:val="00B72EA2"/>
    <w:rsid w:val="00B72EE3"/>
    <w:rsid w:val="00B72FCB"/>
    <w:rsid w:val="00B73A04"/>
    <w:rsid w:val="00B73C01"/>
    <w:rsid w:val="00B73C54"/>
    <w:rsid w:val="00B74070"/>
    <w:rsid w:val="00B74B48"/>
    <w:rsid w:val="00B74C67"/>
    <w:rsid w:val="00B74C8F"/>
    <w:rsid w:val="00B74DBE"/>
    <w:rsid w:val="00B754A2"/>
    <w:rsid w:val="00B7598D"/>
    <w:rsid w:val="00B75DB6"/>
    <w:rsid w:val="00B75E41"/>
    <w:rsid w:val="00B7631F"/>
    <w:rsid w:val="00B766D8"/>
    <w:rsid w:val="00B76A9D"/>
    <w:rsid w:val="00B77544"/>
    <w:rsid w:val="00B7772A"/>
    <w:rsid w:val="00B77C61"/>
    <w:rsid w:val="00B77DC4"/>
    <w:rsid w:val="00B77DF7"/>
    <w:rsid w:val="00B77F5B"/>
    <w:rsid w:val="00B801B0"/>
    <w:rsid w:val="00B807D8"/>
    <w:rsid w:val="00B8092F"/>
    <w:rsid w:val="00B80F88"/>
    <w:rsid w:val="00B811C7"/>
    <w:rsid w:val="00B81261"/>
    <w:rsid w:val="00B81987"/>
    <w:rsid w:val="00B81BE4"/>
    <w:rsid w:val="00B81E3B"/>
    <w:rsid w:val="00B8235A"/>
    <w:rsid w:val="00B826F5"/>
    <w:rsid w:val="00B8291A"/>
    <w:rsid w:val="00B82DCD"/>
    <w:rsid w:val="00B83136"/>
    <w:rsid w:val="00B8325C"/>
    <w:rsid w:val="00B83CA3"/>
    <w:rsid w:val="00B83F54"/>
    <w:rsid w:val="00B840C8"/>
    <w:rsid w:val="00B8442C"/>
    <w:rsid w:val="00B855D9"/>
    <w:rsid w:val="00B856BA"/>
    <w:rsid w:val="00B85859"/>
    <w:rsid w:val="00B8600A"/>
    <w:rsid w:val="00B86261"/>
    <w:rsid w:val="00B8639B"/>
    <w:rsid w:val="00B86764"/>
    <w:rsid w:val="00B87561"/>
    <w:rsid w:val="00B87596"/>
    <w:rsid w:val="00B87721"/>
    <w:rsid w:val="00B8772F"/>
    <w:rsid w:val="00B87BA2"/>
    <w:rsid w:val="00B90433"/>
    <w:rsid w:val="00B9061C"/>
    <w:rsid w:val="00B908AA"/>
    <w:rsid w:val="00B90EAE"/>
    <w:rsid w:val="00B90F57"/>
    <w:rsid w:val="00B91894"/>
    <w:rsid w:val="00B91C4A"/>
    <w:rsid w:val="00B91F3B"/>
    <w:rsid w:val="00B9237D"/>
    <w:rsid w:val="00B92E95"/>
    <w:rsid w:val="00B937B5"/>
    <w:rsid w:val="00B938A0"/>
    <w:rsid w:val="00B938BA"/>
    <w:rsid w:val="00B94311"/>
    <w:rsid w:val="00B944CC"/>
    <w:rsid w:val="00B94553"/>
    <w:rsid w:val="00B94B2D"/>
    <w:rsid w:val="00B94D07"/>
    <w:rsid w:val="00B94DDD"/>
    <w:rsid w:val="00B94F7C"/>
    <w:rsid w:val="00B95063"/>
    <w:rsid w:val="00B955DE"/>
    <w:rsid w:val="00B957B1"/>
    <w:rsid w:val="00B95942"/>
    <w:rsid w:val="00B95C5E"/>
    <w:rsid w:val="00B96463"/>
    <w:rsid w:val="00B96A98"/>
    <w:rsid w:val="00B96E45"/>
    <w:rsid w:val="00B96F11"/>
    <w:rsid w:val="00BA09EA"/>
    <w:rsid w:val="00BA0A64"/>
    <w:rsid w:val="00BA0AA5"/>
    <w:rsid w:val="00BA0AE1"/>
    <w:rsid w:val="00BA0DBB"/>
    <w:rsid w:val="00BA1359"/>
    <w:rsid w:val="00BA1B39"/>
    <w:rsid w:val="00BA1DD6"/>
    <w:rsid w:val="00BA2416"/>
    <w:rsid w:val="00BA30C4"/>
    <w:rsid w:val="00BA326A"/>
    <w:rsid w:val="00BA32CB"/>
    <w:rsid w:val="00BA3D4F"/>
    <w:rsid w:val="00BA3E27"/>
    <w:rsid w:val="00BA3FD8"/>
    <w:rsid w:val="00BA41DC"/>
    <w:rsid w:val="00BA4402"/>
    <w:rsid w:val="00BA44A8"/>
    <w:rsid w:val="00BA4DB5"/>
    <w:rsid w:val="00BA56C3"/>
    <w:rsid w:val="00BA65A9"/>
    <w:rsid w:val="00BA6967"/>
    <w:rsid w:val="00BA6983"/>
    <w:rsid w:val="00BA6B44"/>
    <w:rsid w:val="00BA7251"/>
    <w:rsid w:val="00BA7320"/>
    <w:rsid w:val="00BA7712"/>
    <w:rsid w:val="00BA7C0C"/>
    <w:rsid w:val="00BB0503"/>
    <w:rsid w:val="00BB1143"/>
    <w:rsid w:val="00BB115A"/>
    <w:rsid w:val="00BB19BA"/>
    <w:rsid w:val="00BB1A5C"/>
    <w:rsid w:val="00BB1CCC"/>
    <w:rsid w:val="00BB21AA"/>
    <w:rsid w:val="00BB24DB"/>
    <w:rsid w:val="00BB24FE"/>
    <w:rsid w:val="00BB2777"/>
    <w:rsid w:val="00BB2A1B"/>
    <w:rsid w:val="00BB2D69"/>
    <w:rsid w:val="00BB3F8B"/>
    <w:rsid w:val="00BB429F"/>
    <w:rsid w:val="00BB45B7"/>
    <w:rsid w:val="00BB51AE"/>
    <w:rsid w:val="00BB5BE7"/>
    <w:rsid w:val="00BB6025"/>
    <w:rsid w:val="00BB624A"/>
    <w:rsid w:val="00BB63B6"/>
    <w:rsid w:val="00BB64E2"/>
    <w:rsid w:val="00BB653D"/>
    <w:rsid w:val="00BB6A29"/>
    <w:rsid w:val="00BB6E1A"/>
    <w:rsid w:val="00BB731C"/>
    <w:rsid w:val="00BC0016"/>
    <w:rsid w:val="00BC0399"/>
    <w:rsid w:val="00BC0D47"/>
    <w:rsid w:val="00BC1223"/>
    <w:rsid w:val="00BC1278"/>
    <w:rsid w:val="00BC153B"/>
    <w:rsid w:val="00BC1791"/>
    <w:rsid w:val="00BC1DCC"/>
    <w:rsid w:val="00BC2582"/>
    <w:rsid w:val="00BC28E9"/>
    <w:rsid w:val="00BC2C71"/>
    <w:rsid w:val="00BC348F"/>
    <w:rsid w:val="00BC36CF"/>
    <w:rsid w:val="00BC39F8"/>
    <w:rsid w:val="00BC3BA2"/>
    <w:rsid w:val="00BC3CC1"/>
    <w:rsid w:val="00BC47F7"/>
    <w:rsid w:val="00BC4808"/>
    <w:rsid w:val="00BC490A"/>
    <w:rsid w:val="00BC4A08"/>
    <w:rsid w:val="00BC4CE5"/>
    <w:rsid w:val="00BC4CF2"/>
    <w:rsid w:val="00BC4D7B"/>
    <w:rsid w:val="00BC607E"/>
    <w:rsid w:val="00BC637E"/>
    <w:rsid w:val="00BC6401"/>
    <w:rsid w:val="00BC651F"/>
    <w:rsid w:val="00BC6901"/>
    <w:rsid w:val="00BC6A9D"/>
    <w:rsid w:val="00BC6F0A"/>
    <w:rsid w:val="00BC6FD6"/>
    <w:rsid w:val="00BC71B8"/>
    <w:rsid w:val="00BC76B8"/>
    <w:rsid w:val="00BD0A4C"/>
    <w:rsid w:val="00BD0D7D"/>
    <w:rsid w:val="00BD0D96"/>
    <w:rsid w:val="00BD12C4"/>
    <w:rsid w:val="00BD1929"/>
    <w:rsid w:val="00BD2465"/>
    <w:rsid w:val="00BD27E4"/>
    <w:rsid w:val="00BD2DF0"/>
    <w:rsid w:val="00BD31F3"/>
    <w:rsid w:val="00BD3ABB"/>
    <w:rsid w:val="00BD3EAE"/>
    <w:rsid w:val="00BD44C2"/>
    <w:rsid w:val="00BD490F"/>
    <w:rsid w:val="00BD4AA1"/>
    <w:rsid w:val="00BD55C2"/>
    <w:rsid w:val="00BD5716"/>
    <w:rsid w:val="00BD59A6"/>
    <w:rsid w:val="00BD59AA"/>
    <w:rsid w:val="00BD5C11"/>
    <w:rsid w:val="00BD5C90"/>
    <w:rsid w:val="00BD5CD1"/>
    <w:rsid w:val="00BD60F0"/>
    <w:rsid w:val="00BD677F"/>
    <w:rsid w:val="00BD6DA7"/>
    <w:rsid w:val="00BD6EF0"/>
    <w:rsid w:val="00BD6F0B"/>
    <w:rsid w:val="00BD7081"/>
    <w:rsid w:val="00BD718A"/>
    <w:rsid w:val="00BD728B"/>
    <w:rsid w:val="00BD761F"/>
    <w:rsid w:val="00BD76EA"/>
    <w:rsid w:val="00BD78A0"/>
    <w:rsid w:val="00BE06B6"/>
    <w:rsid w:val="00BE06E8"/>
    <w:rsid w:val="00BE0BE3"/>
    <w:rsid w:val="00BE12F5"/>
    <w:rsid w:val="00BE14F6"/>
    <w:rsid w:val="00BE15A9"/>
    <w:rsid w:val="00BE1669"/>
    <w:rsid w:val="00BE18D4"/>
    <w:rsid w:val="00BE1BA1"/>
    <w:rsid w:val="00BE27F2"/>
    <w:rsid w:val="00BE290C"/>
    <w:rsid w:val="00BE2963"/>
    <w:rsid w:val="00BE319B"/>
    <w:rsid w:val="00BE3619"/>
    <w:rsid w:val="00BE3B0F"/>
    <w:rsid w:val="00BE4068"/>
    <w:rsid w:val="00BE4A38"/>
    <w:rsid w:val="00BE4C8B"/>
    <w:rsid w:val="00BE5A1D"/>
    <w:rsid w:val="00BE5D38"/>
    <w:rsid w:val="00BE5DDA"/>
    <w:rsid w:val="00BE621A"/>
    <w:rsid w:val="00BE670A"/>
    <w:rsid w:val="00BE6B8C"/>
    <w:rsid w:val="00BE6BCE"/>
    <w:rsid w:val="00BE6D6C"/>
    <w:rsid w:val="00BE6DC1"/>
    <w:rsid w:val="00BE72D2"/>
    <w:rsid w:val="00BE72D4"/>
    <w:rsid w:val="00BE7433"/>
    <w:rsid w:val="00BE7618"/>
    <w:rsid w:val="00BE79AB"/>
    <w:rsid w:val="00BE7AFB"/>
    <w:rsid w:val="00BF06B6"/>
    <w:rsid w:val="00BF0A8D"/>
    <w:rsid w:val="00BF0C1D"/>
    <w:rsid w:val="00BF0E00"/>
    <w:rsid w:val="00BF133B"/>
    <w:rsid w:val="00BF1805"/>
    <w:rsid w:val="00BF1937"/>
    <w:rsid w:val="00BF1A02"/>
    <w:rsid w:val="00BF1A9C"/>
    <w:rsid w:val="00BF1AB6"/>
    <w:rsid w:val="00BF1C3C"/>
    <w:rsid w:val="00BF1FA4"/>
    <w:rsid w:val="00BF2309"/>
    <w:rsid w:val="00BF2597"/>
    <w:rsid w:val="00BF337F"/>
    <w:rsid w:val="00BF380D"/>
    <w:rsid w:val="00BF3867"/>
    <w:rsid w:val="00BF4122"/>
    <w:rsid w:val="00BF41E2"/>
    <w:rsid w:val="00BF4910"/>
    <w:rsid w:val="00BF4E4A"/>
    <w:rsid w:val="00BF5399"/>
    <w:rsid w:val="00BF57D7"/>
    <w:rsid w:val="00BF5E79"/>
    <w:rsid w:val="00BF648C"/>
    <w:rsid w:val="00BF7B16"/>
    <w:rsid w:val="00BF7BBC"/>
    <w:rsid w:val="00BF7C02"/>
    <w:rsid w:val="00BF7C26"/>
    <w:rsid w:val="00C00877"/>
    <w:rsid w:val="00C00BF6"/>
    <w:rsid w:val="00C011A5"/>
    <w:rsid w:val="00C011B1"/>
    <w:rsid w:val="00C011E4"/>
    <w:rsid w:val="00C011EC"/>
    <w:rsid w:val="00C01C82"/>
    <w:rsid w:val="00C01CC5"/>
    <w:rsid w:val="00C01CF9"/>
    <w:rsid w:val="00C01DEF"/>
    <w:rsid w:val="00C01E8D"/>
    <w:rsid w:val="00C020AC"/>
    <w:rsid w:val="00C02954"/>
    <w:rsid w:val="00C02AEA"/>
    <w:rsid w:val="00C03037"/>
    <w:rsid w:val="00C031A5"/>
    <w:rsid w:val="00C03262"/>
    <w:rsid w:val="00C034BB"/>
    <w:rsid w:val="00C034F9"/>
    <w:rsid w:val="00C0368E"/>
    <w:rsid w:val="00C03788"/>
    <w:rsid w:val="00C03AC7"/>
    <w:rsid w:val="00C03D25"/>
    <w:rsid w:val="00C040CF"/>
    <w:rsid w:val="00C0422F"/>
    <w:rsid w:val="00C04588"/>
    <w:rsid w:val="00C046E0"/>
    <w:rsid w:val="00C046EE"/>
    <w:rsid w:val="00C0475C"/>
    <w:rsid w:val="00C04D2A"/>
    <w:rsid w:val="00C0514C"/>
    <w:rsid w:val="00C05298"/>
    <w:rsid w:val="00C054D6"/>
    <w:rsid w:val="00C055A5"/>
    <w:rsid w:val="00C05695"/>
    <w:rsid w:val="00C05D41"/>
    <w:rsid w:val="00C05FAF"/>
    <w:rsid w:val="00C061A5"/>
    <w:rsid w:val="00C064D4"/>
    <w:rsid w:val="00C07572"/>
    <w:rsid w:val="00C0786D"/>
    <w:rsid w:val="00C07FC7"/>
    <w:rsid w:val="00C10FEB"/>
    <w:rsid w:val="00C11239"/>
    <w:rsid w:val="00C1176E"/>
    <w:rsid w:val="00C119CC"/>
    <w:rsid w:val="00C11CE5"/>
    <w:rsid w:val="00C11E5F"/>
    <w:rsid w:val="00C127B2"/>
    <w:rsid w:val="00C12E50"/>
    <w:rsid w:val="00C133B1"/>
    <w:rsid w:val="00C133C1"/>
    <w:rsid w:val="00C1381E"/>
    <w:rsid w:val="00C13858"/>
    <w:rsid w:val="00C1394A"/>
    <w:rsid w:val="00C13DB9"/>
    <w:rsid w:val="00C13F70"/>
    <w:rsid w:val="00C14423"/>
    <w:rsid w:val="00C14E00"/>
    <w:rsid w:val="00C15627"/>
    <w:rsid w:val="00C15696"/>
    <w:rsid w:val="00C1588C"/>
    <w:rsid w:val="00C15932"/>
    <w:rsid w:val="00C15A5A"/>
    <w:rsid w:val="00C15F19"/>
    <w:rsid w:val="00C1624A"/>
    <w:rsid w:val="00C16A8B"/>
    <w:rsid w:val="00C17519"/>
    <w:rsid w:val="00C1790D"/>
    <w:rsid w:val="00C17919"/>
    <w:rsid w:val="00C17C6C"/>
    <w:rsid w:val="00C17F4D"/>
    <w:rsid w:val="00C20121"/>
    <w:rsid w:val="00C202FA"/>
    <w:rsid w:val="00C208FE"/>
    <w:rsid w:val="00C20BFC"/>
    <w:rsid w:val="00C20FA0"/>
    <w:rsid w:val="00C218F6"/>
    <w:rsid w:val="00C2260B"/>
    <w:rsid w:val="00C22F97"/>
    <w:rsid w:val="00C22FA7"/>
    <w:rsid w:val="00C23113"/>
    <w:rsid w:val="00C23158"/>
    <w:rsid w:val="00C23666"/>
    <w:rsid w:val="00C24067"/>
    <w:rsid w:val="00C2406D"/>
    <w:rsid w:val="00C241B3"/>
    <w:rsid w:val="00C24A8A"/>
    <w:rsid w:val="00C24E68"/>
    <w:rsid w:val="00C255D8"/>
    <w:rsid w:val="00C256D8"/>
    <w:rsid w:val="00C2572B"/>
    <w:rsid w:val="00C259B2"/>
    <w:rsid w:val="00C25AC1"/>
    <w:rsid w:val="00C2616C"/>
    <w:rsid w:val="00C2656D"/>
    <w:rsid w:val="00C26E51"/>
    <w:rsid w:val="00C272A8"/>
    <w:rsid w:val="00C273F9"/>
    <w:rsid w:val="00C27DB6"/>
    <w:rsid w:val="00C30029"/>
    <w:rsid w:val="00C3042A"/>
    <w:rsid w:val="00C3065B"/>
    <w:rsid w:val="00C30662"/>
    <w:rsid w:val="00C306EF"/>
    <w:rsid w:val="00C30DA4"/>
    <w:rsid w:val="00C3123C"/>
    <w:rsid w:val="00C314C5"/>
    <w:rsid w:val="00C315D6"/>
    <w:rsid w:val="00C316B1"/>
    <w:rsid w:val="00C31F2E"/>
    <w:rsid w:val="00C31FCB"/>
    <w:rsid w:val="00C3217F"/>
    <w:rsid w:val="00C3234E"/>
    <w:rsid w:val="00C32473"/>
    <w:rsid w:val="00C32771"/>
    <w:rsid w:val="00C32981"/>
    <w:rsid w:val="00C32D0D"/>
    <w:rsid w:val="00C32E2F"/>
    <w:rsid w:val="00C32E35"/>
    <w:rsid w:val="00C336A0"/>
    <w:rsid w:val="00C337F5"/>
    <w:rsid w:val="00C33A95"/>
    <w:rsid w:val="00C33F24"/>
    <w:rsid w:val="00C33FD7"/>
    <w:rsid w:val="00C33FF1"/>
    <w:rsid w:val="00C34B4F"/>
    <w:rsid w:val="00C34DA4"/>
    <w:rsid w:val="00C34DBA"/>
    <w:rsid w:val="00C34F52"/>
    <w:rsid w:val="00C3515C"/>
    <w:rsid w:val="00C353C6"/>
    <w:rsid w:val="00C35B4B"/>
    <w:rsid w:val="00C35C36"/>
    <w:rsid w:val="00C35F16"/>
    <w:rsid w:val="00C36277"/>
    <w:rsid w:val="00C36907"/>
    <w:rsid w:val="00C37450"/>
    <w:rsid w:val="00C374B9"/>
    <w:rsid w:val="00C37827"/>
    <w:rsid w:val="00C37894"/>
    <w:rsid w:val="00C41021"/>
    <w:rsid w:val="00C41315"/>
    <w:rsid w:val="00C4144B"/>
    <w:rsid w:val="00C4144E"/>
    <w:rsid w:val="00C415D1"/>
    <w:rsid w:val="00C4188D"/>
    <w:rsid w:val="00C41937"/>
    <w:rsid w:val="00C41DC4"/>
    <w:rsid w:val="00C41F79"/>
    <w:rsid w:val="00C420D9"/>
    <w:rsid w:val="00C42249"/>
    <w:rsid w:val="00C42525"/>
    <w:rsid w:val="00C430F1"/>
    <w:rsid w:val="00C43331"/>
    <w:rsid w:val="00C4391C"/>
    <w:rsid w:val="00C43B8C"/>
    <w:rsid w:val="00C4407C"/>
    <w:rsid w:val="00C4439D"/>
    <w:rsid w:val="00C443CA"/>
    <w:rsid w:val="00C444CE"/>
    <w:rsid w:val="00C44643"/>
    <w:rsid w:val="00C44B84"/>
    <w:rsid w:val="00C44BBE"/>
    <w:rsid w:val="00C44C55"/>
    <w:rsid w:val="00C450D9"/>
    <w:rsid w:val="00C45917"/>
    <w:rsid w:val="00C45C22"/>
    <w:rsid w:val="00C45D1F"/>
    <w:rsid w:val="00C46448"/>
    <w:rsid w:val="00C4652B"/>
    <w:rsid w:val="00C46605"/>
    <w:rsid w:val="00C46662"/>
    <w:rsid w:val="00C466BC"/>
    <w:rsid w:val="00C467ED"/>
    <w:rsid w:val="00C46866"/>
    <w:rsid w:val="00C469F0"/>
    <w:rsid w:val="00C46E53"/>
    <w:rsid w:val="00C46F20"/>
    <w:rsid w:val="00C4705F"/>
    <w:rsid w:val="00C47207"/>
    <w:rsid w:val="00C473F7"/>
    <w:rsid w:val="00C476CC"/>
    <w:rsid w:val="00C47864"/>
    <w:rsid w:val="00C50190"/>
    <w:rsid w:val="00C501B3"/>
    <w:rsid w:val="00C502F9"/>
    <w:rsid w:val="00C50307"/>
    <w:rsid w:val="00C5044E"/>
    <w:rsid w:val="00C50646"/>
    <w:rsid w:val="00C508ED"/>
    <w:rsid w:val="00C50ACB"/>
    <w:rsid w:val="00C50C36"/>
    <w:rsid w:val="00C50C44"/>
    <w:rsid w:val="00C511E1"/>
    <w:rsid w:val="00C5176A"/>
    <w:rsid w:val="00C5188E"/>
    <w:rsid w:val="00C5191D"/>
    <w:rsid w:val="00C519D1"/>
    <w:rsid w:val="00C51F95"/>
    <w:rsid w:val="00C5208F"/>
    <w:rsid w:val="00C5247E"/>
    <w:rsid w:val="00C52F7E"/>
    <w:rsid w:val="00C537A0"/>
    <w:rsid w:val="00C53913"/>
    <w:rsid w:val="00C53BB9"/>
    <w:rsid w:val="00C53EA4"/>
    <w:rsid w:val="00C547C3"/>
    <w:rsid w:val="00C550F7"/>
    <w:rsid w:val="00C553D5"/>
    <w:rsid w:val="00C55BC6"/>
    <w:rsid w:val="00C55FCD"/>
    <w:rsid w:val="00C5625F"/>
    <w:rsid w:val="00C5636F"/>
    <w:rsid w:val="00C568D5"/>
    <w:rsid w:val="00C57248"/>
    <w:rsid w:val="00C57595"/>
    <w:rsid w:val="00C57852"/>
    <w:rsid w:val="00C6021D"/>
    <w:rsid w:val="00C603C5"/>
    <w:rsid w:val="00C60B1F"/>
    <w:rsid w:val="00C60D71"/>
    <w:rsid w:val="00C60D8F"/>
    <w:rsid w:val="00C60E2A"/>
    <w:rsid w:val="00C60E31"/>
    <w:rsid w:val="00C610AB"/>
    <w:rsid w:val="00C6145A"/>
    <w:rsid w:val="00C61CDA"/>
    <w:rsid w:val="00C621D4"/>
    <w:rsid w:val="00C621F6"/>
    <w:rsid w:val="00C623C1"/>
    <w:rsid w:val="00C6279E"/>
    <w:rsid w:val="00C6294E"/>
    <w:rsid w:val="00C62EA3"/>
    <w:rsid w:val="00C635E0"/>
    <w:rsid w:val="00C63701"/>
    <w:rsid w:val="00C63A69"/>
    <w:rsid w:val="00C63A94"/>
    <w:rsid w:val="00C63B07"/>
    <w:rsid w:val="00C647C5"/>
    <w:rsid w:val="00C64989"/>
    <w:rsid w:val="00C659F9"/>
    <w:rsid w:val="00C65D21"/>
    <w:rsid w:val="00C65FDD"/>
    <w:rsid w:val="00C662DB"/>
    <w:rsid w:val="00C66666"/>
    <w:rsid w:val="00C66669"/>
    <w:rsid w:val="00C66DE2"/>
    <w:rsid w:val="00C66E87"/>
    <w:rsid w:val="00C6730B"/>
    <w:rsid w:val="00C67DE5"/>
    <w:rsid w:val="00C70743"/>
    <w:rsid w:val="00C70884"/>
    <w:rsid w:val="00C708E3"/>
    <w:rsid w:val="00C709B9"/>
    <w:rsid w:val="00C70DF7"/>
    <w:rsid w:val="00C70EF3"/>
    <w:rsid w:val="00C711AB"/>
    <w:rsid w:val="00C71469"/>
    <w:rsid w:val="00C717E7"/>
    <w:rsid w:val="00C71CA4"/>
    <w:rsid w:val="00C725D8"/>
    <w:rsid w:val="00C72A4D"/>
    <w:rsid w:val="00C7306C"/>
    <w:rsid w:val="00C733ED"/>
    <w:rsid w:val="00C735CC"/>
    <w:rsid w:val="00C7390B"/>
    <w:rsid w:val="00C739A6"/>
    <w:rsid w:val="00C739FC"/>
    <w:rsid w:val="00C739FF"/>
    <w:rsid w:val="00C73AF8"/>
    <w:rsid w:val="00C74A34"/>
    <w:rsid w:val="00C7537A"/>
    <w:rsid w:val="00C75665"/>
    <w:rsid w:val="00C75E90"/>
    <w:rsid w:val="00C761BD"/>
    <w:rsid w:val="00C761BE"/>
    <w:rsid w:val="00C762F4"/>
    <w:rsid w:val="00C763E3"/>
    <w:rsid w:val="00C7657E"/>
    <w:rsid w:val="00C766EE"/>
    <w:rsid w:val="00C769DC"/>
    <w:rsid w:val="00C76FF2"/>
    <w:rsid w:val="00C7702F"/>
    <w:rsid w:val="00C77054"/>
    <w:rsid w:val="00C77222"/>
    <w:rsid w:val="00C77EF6"/>
    <w:rsid w:val="00C80278"/>
    <w:rsid w:val="00C808EC"/>
    <w:rsid w:val="00C80A5B"/>
    <w:rsid w:val="00C80A9E"/>
    <w:rsid w:val="00C80D20"/>
    <w:rsid w:val="00C81158"/>
    <w:rsid w:val="00C8151C"/>
    <w:rsid w:val="00C8155D"/>
    <w:rsid w:val="00C817C3"/>
    <w:rsid w:val="00C81848"/>
    <w:rsid w:val="00C81E75"/>
    <w:rsid w:val="00C81EB1"/>
    <w:rsid w:val="00C82012"/>
    <w:rsid w:val="00C82387"/>
    <w:rsid w:val="00C82548"/>
    <w:rsid w:val="00C828BA"/>
    <w:rsid w:val="00C82990"/>
    <w:rsid w:val="00C82D95"/>
    <w:rsid w:val="00C835CD"/>
    <w:rsid w:val="00C83787"/>
    <w:rsid w:val="00C8394C"/>
    <w:rsid w:val="00C83C6D"/>
    <w:rsid w:val="00C84400"/>
    <w:rsid w:val="00C8443D"/>
    <w:rsid w:val="00C845E7"/>
    <w:rsid w:val="00C84CDA"/>
    <w:rsid w:val="00C85352"/>
    <w:rsid w:val="00C85938"/>
    <w:rsid w:val="00C860B6"/>
    <w:rsid w:val="00C86B6D"/>
    <w:rsid w:val="00C86EC5"/>
    <w:rsid w:val="00C87072"/>
    <w:rsid w:val="00C870C0"/>
    <w:rsid w:val="00C87E79"/>
    <w:rsid w:val="00C87FCB"/>
    <w:rsid w:val="00C90123"/>
    <w:rsid w:val="00C9022E"/>
    <w:rsid w:val="00C90244"/>
    <w:rsid w:val="00C902C5"/>
    <w:rsid w:val="00C902E5"/>
    <w:rsid w:val="00C903EE"/>
    <w:rsid w:val="00C905F6"/>
    <w:rsid w:val="00C9097A"/>
    <w:rsid w:val="00C9104E"/>
    <w:rsid w:val="00C91554"/>
    <w:rsid w:val="00C91770"/>
    <w:rsid w:val="00C91884"/>
    <w:rsid w:val="00C91F7F"/>
    <w:rsid w:val="00C9218E"/>
    <w:rsid w:val="00C922BB"/>
    <w:rsid w:val="00C927F3"/>
    <w:rsid w:val="00C9308C"/>
    <w:rsid w:val="00C93FDC"/>
    <w:rsid w:val="00C946AC"/>
    <w:rsid w:val="00C95099"/>
    <w:rsid w:val="00C951CA"/>
    <w:rsid w:val="00C95518"/>
    <w:rsid w:val="00C955D2"/>
    <w:rsid w:val="00C95866"/>
    <w:rsid w:val="00C96D33"/>
    <w:rsid w:val="00C96DA8"/>
    <w:rsid w:val="00C96FB2"/>
    <w:rsid w:val="00C97137"/>
    <w:rsid w:val="00C972E0"/>
    <w:rsid w:val="00C972FE"/>
    <w:rsid w:val="00C976C5"/>
    <w:rsid w:val="00C97A1B"/>
    <w:rsid w:val="00CA02CE"/>
    <w:rsid w:val="00CA02CF"/>
    <w:rsid w:val="00CA03EC"/>
    <w:rsid w:val="00CA0984"/>
    <w:rsid w:val="00CA0AC9"/>
    <w:rsid w:val="00CA128F"/>
    <w:rsid w:val="00CA1C89"/>
    <w:rsid w:val="00CA1E33"/>
    <w:rsid w:val="00CA1ED3"/>
    <w:rsid w:val="00CA2AFD"/>
    <w:rsid w:val="00CA2C66"/>
    <w:rsid w:val="00CA2E00"/>
    <w:rsid w:val="00CA3558"/>
    <w:rsid w:val="00CA3950"/>
    <w:rsid w:val="00CA3A6C"/>
    <w:rsid w:val="00CA3B6B"/>
    <w:rsid w:val="00CA3CB8"/>
    <w:rsid w:val="00CA42E1"/>
    <w:rsid w:val="00CA4932"/>
    <w:rsid w:val="00CA4BB7"/>
    <w:rsid w:val="00CA4D0F"/>
    <w:rsid w:val="00CA5EBA"/>
    <w:rsid w:val="00CA5F70"/>
    <w:rsid w:val="00CA6488"/>
    <w:rsid w:val="00CA64CB"/>
    <w:rsid w:val="00CA6799"/>
    <w:rsid w:val="00CA69C5"/>
    <w:rsid w:val="00CA6A66"/>
    <w:rsid w:val="00CA6B8F"/>
    <w:rsid w:val="00CA6BD2"/>
    <w:rsid w:val="00CA6C49"/>
    <w:rsid w:val="00CA6CC0"/>
    <w:rsid w:val="00CA7CB0"/>
    <w:rsid w:val="00CA7E94"/>
    <w:rsid w:val="00CA7EAF"/>
    <w:rsid w:val="00CB01D3"/>
    <w:rsid w:val="00CB0465"/>
    <w:rsid w:val="00CB04F1"/>
    <w:rsid w:val="00CB0918"/>
    <w:rsid w:val="00CB0E4C"/>
    <w:rsid w:val="00CB1154"/>
    <w:rsid w:val="00CB18E2"/>
    <w:rsid w:val="00CB2789"/>
    <w:rsid w:val="00CB2827"/>
    <w:rsid w:val="00CB2A8C"/>
    <w:rsid w:val="00CB2C72"/>
    <w:rsid w:val="00CB2EA9"/>
    <w:rsid w:val="00CB2FD6"/>
    <w:rsid w:val="00CB3124"/>
    <w:rsid w:val="00CB3DB0"/>
    <w:rsid w:val="00CB3F6E"/>
    <w:rsid w:val="00CB4840"/>
    <w:rsid w:val="00CB4950"/>
    <w:rsid w:val="00CB4A0E"/>
    <w:rsid w:val="00CB4C8C"/>
    <w:rsid w:val="00CB4FA4"/>
    <w:rsid w:val="00CB55D5"/>
    <w:rsid w:val="00CB5DEA"/>
    <w:rsid w:val="00CB6269"/>
    <w:rsid w:val="00CB62F1"/>
    <w:rsid w:val="00CB6344"/>
    <w:rsid w:val="00CB66DE"/>
    <w:rsid w:val="00CB67C5"/>
    <w:rsid w:val="00CB6DA0"/>
    <w:rsid w:val="00CB6FC5"/>
    <w:rsid w:val="00CB7B12"/>
    <w:rsid w:val="00CB7C0A"/>
    <w:rsid w:val="00CB7CB1"/>
    <w:rsid w:val="00CC0827"/>
    <w:rsid w:val="00CC0AB9"/>
    <w:rsid w:val="00CC0CA3"/>
    <w:rsid w:val="00CC112F"/>
    <w:rsid w:val="00CC1466"/>
    <w:rsid w:val="00CC15E9"/>
    <w:rsid w:val="00CC19B8"/>
    <w:rsid w:val="00CC1B9B"/>
    <w:rsid w:val="00CC22BF"/>
    <w:rsid w:val="00CC2BB1"/>
    <w:rsid w:val="00CC2DE3"/>
    <w:rsid w:val="00CC34BB"/>
    <w:rsid w:val="00CC3E5D"/>
    <w:rsid w:val="00CC4261"/>
    <w:rsid w:val="00CC44A5"/>
    <w:rsid w:val="00CC50DB"/>
    <w:rsid w:val="00CC53D9"/>
    <w:rsid w:val="00CC74F6"/>
    <w:rsid w:val="00CD003F"/>
    <w:rsid w:val="00CD021E"/>
    <w:rsid w:val="00CD03EC"/>
    <w:rsid w:val="00CD072C"/>
    <w:rsid w:val="00CD087F"/>
    <w:rsid w:val="00CD0892"/>
    <w:rsid w:val="00CD0DE6"/>
    <w:rsid w:val="00CD1C33"/>
    <w:rsid w:val="00CD27BA"/>
    <w:rsid w:val="00CD2944"/>
    <w:rsid w:val="00CD2B5B"/>
    <w:rsid w:val="00CD2DA6"/>
    <w:rsid w:val="00CD2FF2"/>
    <w:rsid w:val="00CD311C"/>
    <w:rsid w:val="00CD32F4"/>
    <w:rsid w:val="00CD3362"/>
    <w:rsid w:val="00CD33AD"/>
    <w:rsid w:val="00CD3806"/>
    <w:rsid w:val="00CD408D"/>
    <w:rsid w:val="00CD4120"/>
    <w:rsid w:val="00CD412E"/>
    <w:rsid w:val="00CD442C"/>
    <w:rsid w:val="00CD48EC"/>
    <w:rsid w:val="00CD4AA5"/>
    <w:rsid w:val="00CD5201"/>
    <w:rsid w:val="00CD5537"/>
    <w:rsid w:val="00CD5682"/>
    <w:rsid w:val="00CD66B3"/>
    <w:rsid w:val="00CD6825"/>
    <w:rsid w:val="00CD6DFF"/>
    <w:rsid w:val="00CD6FAE"/>
    <w:rsid w:val="00CE0076"/>
    <w:rsid w:val="00CE00B5"/>
    <w:rsid w:val="00CE00B7"/>
    <w:rsid w:val="00CE01A8"/>
    <w:rsid w:val="00CE024F"/>
    <w:rsid w:val="00CE06C4"/>
    <w:rsid w:val="00CE0752"/>
    <w:rsid w:val="00CE0962"/>
    <w:rsid w:val="00CE0CA4"/>
    <w:rsid w:val="00CE16BE"/>
    <w:rsid w:val="00CE1774"/>
    <w:rsid w:val="00CE1957"/>
    <w:rsid w:val="00CE1977"/>
    <w:rsid w:val="00CE202D"/>
    <w:rsid w:val="00CE230F"/>
    <w:rsid w:val="00CE2C1E"/>
    <w:rsid w:val="00CE3531"/>
    <w:rsid w:val="00CE3F0B"/>
    <w:rsid w:val="00CE4C99"/>
    <w:rsid w:val="00CE4DCA"/>
    <w:rsid w:val="00CE4DEC"/>
    <w:rsid w:val="00CE5093"/>
    <w:rsid w:val="00CE55D9"/>
    <w:rsid w:val="00CE57A1"/>
    <w:rsid w:val="00CE6002"/>
    <w:rsid w:val="00CE60CA"/>
    <w:rsid w:val="00CE613A"/>
    <w:rsid w:val="00CE6CB6"/>
    <w:rsid w:val="00CE6FBA"/>
    <w:rsid w:val="00CE7321"/>
    <w:rsid w:val="00CE741B"/>
    <w:rsid w:val="00CE7733"/>
    <w:rsid w:val="00CE78C1"/>
    <w:rsid w:val="00CE78D7"/>
    <w:rsid w:val="00CE7CF2"/>
    <w:rsid w:val="00CF0112"/>
    <w:rsid w:val="00CF02FE"/>
    <w:rsid w:val="00CF0788"/>
    <w:rsid w:val="00CF0A9D"/>
    <w:rsid w:val="00CF0D15"/>
    <w:rsid w:val="00CF0D7F"/>
    <w:rsid w:val="00CF0EA2"/>
    <w:rsid w:val="00CF0ED8"/>
    <w:rsid w:val="00CF0F4D"/>
    <w:rsid w:val="00CF11B0"/>
    <w:rsid w:val="00CF134F"/>
    <w:rsid w:val="00CF13CC"/>
    <w:rsid w:val="00CF1788"/>
    <w:rsid w:val="00CF17A6"/>
    <w:rsid w:val="00CF18BA"/>
    <w:rsid w:val="00CF1E64"/>
    <w:rsid w:val="00CF224B"/>
    <w:rsid w:val="00CF2503"/>
    <w:rsid w:val="00CF2889"/>
    <w:rsid w:val="00CF2A7D"/>
    <w:rsid w:val="00CF2C08"/>
    <w:rsid w:val="00CF2C65"/>
    <w:rsid w:val="00CF2CA9"/>
    <w:rsid w:val="00CF2E0D"/>
    <w:rsid w:val="00CF324E"/>
    <w:rsid w:val="00CF3934"/>
    <w:rsid w:val="00CF3986"/>
    <w:rsid w:val="00CF39E8"/>
    <w:rsid w:val="00CF3A14"/>
    <w:rsid w:val="00CF42AF"/>
    <w:rsid w:val="00CF43BA"/>
    <w:rsid w:val="00CF44F4"/>
    <w:rsid w:val="00CF450C"/>
    <w:rsid w:val="00CF472B"/>
    <w:rsid w:val="00CF51DE"/>
    <w:rsid w:val="00CF56B7"/>
    <w:rsid w:val="00CF56D5"/>
    <w:rsid w:val="00CF581C"/>
    <w:rsid w:val="00CF5F3A"/>
    <w:rsid w:val="00CF6318"/>
    <w:rsid w:val="00CF6E1B"/>
    <w:rsid w:val="00CF6FF1"/>
    <w:rsid w:val="00CF702F"/>
    <w:rsid w:val="00CF7075"/>
    <w:rsid w:val="00CF724E"/>
    <w:rsid w:val="00CF75A4"/>
    <w:rsid w:val="00CF773E"/>
    <w:rsid w:val="00CF7757"/>
    <w:rsid w:val="00CF7C54"/>
    <w:rsid w:val="00CF7D1F"/>
    <w:rsid w:val="00D000F1"/>
    <w:rsid w:val="00D00297"/>
    <w:rsid w:val="00D0081E"/>
    <w:rsid w:val="00D00C46"/>
    <w:rsid w:val="00D010A1"/>
    <w:rsid w:val="00D013D0"/>
    <w:rsid w:val="00D0148E"/>
    <w:rsid w:val="00D01491"/>
    <w:rsid w:val="00D014BC"/>
    <w:rsid w:val="00D0181A"/>
    <w:rsid w:val="00D01FC6"/>
    <w:rsid w:val="00D02280"/>
    <w:rsid w:val="00D0248A"/>
    <w:rsid w:val="00D025B4"/>
    <w:rsid w:val="00D02B3C"/>
    <w:rsid w:val="00D038AC"/>
    <w:rsid w:val="00D03A90"/>
    <w:rsid w:val="00D03E66"/>
    <w:rsid w:val="00D0403D"/>
    <w:rsid w:val="00D04E3E"/>
    <w:rsid w:val="00D05196"/>
    <w:rsid w:val="00D052D5"/>
    <w:rsid w:val="00D05E6C"/>
    <w:rsid w:val="00D062D0"/>
    <w:rsid w:val="00D06335"/>
    <w:rsid w:val="00D06A58"/>
    <w:rsid w:val="00D076B1"/>
    <w:rsid w:val="00D078CA"/>
    <w:rsid w:val="00D07B7A"/>
    <w:rsid w:val="00D07DF8"/>
    <w:rsid w:val="00D07EE1"/>
    <w:rsid w:val="00D10645"/>
    <w:rsid w:val="00D10E41"/>
    <w:rsid w:val="00D111FB"/>
    <w:rsid w:val="00D11B16"/>
    <w:rsid w:val="00D12872"/>
    <w:rsid w:val="00D12FF9"/>
    <w:rsid w:val="00D132B2"/>
    <w:rsid w:val="00D136E5"/>
    <w:rsid w:val="00D13A0B"/>
    <w:rsid w:val="00D13D58"/>
    <w:rsid w:val="00D14922"/>
    <w:rsid w:val="00D14D14"/>
    <w:rsid w:val="00D14EB4"/>
    <w:rsid w:val="00D150AE"/>
    <w:rsid w:val="00D1540B"/>
    <w:rsid w:val="00D156F3"/>
    <w:rsid w:val="00D15796"/>
    <w:rsid w:val="00D159CF"/>
    <w:rsid w:val="00D15C52"/>
    <w:rsid w:val="00D16648"/>
    <w:rsid w:val="00D16B48"/>
    <w:rsid w:val="00D16BB4"/>
    <w:rsid w:val="00D16CE7"/>
    <w:rsid w:val="00D170D2"/>
    <w:rsid w:val="00D17228"/>
    <w:rsid w:val="00D1733C"/>
    <w:rsid w:val="00D1753D"/>
    <w:rsid w:val="00D17E7C"/>
    <w:rsid w:val="00D203D0"/>
    <w:rsid w:val="00D20966"/>
    <w:rsid w:val="00D20CDE"/>
    <w:rsid w:val="00D20DB8"/>
    <w:rsid w:val="00D21302"/>
    <w:rsid w:val="00D2167E"/>
    <w:rsid w:val="00D21C13"/>
    <w:rsid w:val="00D229CF"/>
    <w:rsid w:val="00D22BE6"/>
    <w:rsid w:val="00D22D56"/>
    <w:rsid w:val="00D23356"/>
    <w:rsid w:val="00D234C6"/>
    <w:rsid w:val="00D236FD"/>
    <w:rsid w:val="00D23AF3"/>
    <w:rsid w:val="00D23C83"/>
    <w:rsid w:val="00D23E16"/>
    <w:rsid w:val="00D23E40"/>
    <w:rsid w:val="00D2402E"/>
    <w:rsid w:val="00D242D2"/>
    <w:rsid w:val="00D24C6C"/>
    <w:rsid w:val="00D24D8E"/>
    <w:rsid w:val="00D24FD9"/>
    <w:rsid w:val="00D25395"/>
    <w:rsid w:val="00D25B96"/>
    <w:rsid w:val="00D260F4"/>
    <w:rsid w:val="00D27694"/>
    <w:rsid w:val="00D27F3B"/>
    <w:rsid w:val="00D30031"/>
    <w:rsid w:val="00D30799"/>
    <w:rsid w:val="00D3124C"/>
    <w:rsid w:val="00D31967"/>
    <w:rsid w:val="00D31DE7"/>
    <w:rsid w:val="00D32557"/>
    <w:rsid w:val="00D32F47"/>
    <w:rsid w:val="00D330A5"/>
    <w:rsid w:val="00D33121"/>
    <w:rsid w:val="00D33576"/>
    <w:rsid w:val="00D337C4"/>
    <w:rsid w:val="00D33A99"/>
    <w:rsid w:val="00D33BCB"/>
    <w:rsid w:val="00D33CE4"/>
    <w:rsid w:val="00D3479A"/>
    <w:rsid w:val="00D34A0E"/>
    <w:rsid w:val="00D34BBF"/>
    <w:rsid w:val="00D34E03"/>
    <w:rsid w:val="00D34E47"/>
    <w:rsid w:val="00D358F0"/>
    <w:rsid w:val="00D35CBE"/>
    <w:rsid w:val="00D368DE"/>
    <w:rsid w:val="00D36CFF"/>
    <w:rsid w:val="00D375EB"/>
    <w:rsid w:val="00D377B1"/>
    <w:rsid w:val="00D400A1"/>
    <w:rsid w:val="00D400C3"/>
    <w:rsid w:val="00D4051E"/>
    <w:rsid w:val="00D40ABC"/>
    <w:rsid w:val="00D40AF0"/>
    <w:rsid w:val="00D410F2"/>
    <w:rsid w:val="00D4169C"/>
    <w:rsid w:val="00D425AC"/>
    <w:rsid w:val="00D42871"/>
    <w:rsid w:val="00D42880"/>
    <w:rsid w:val="00D42F41"/>
    <w:rsid w:val="00D4302F"/>
    <w:rsid w:val="00D430C5"/>
    <w:rsid w:val="00D43176"/>
    <w:rsid w:val="00D43ABD"/>
    <w:rsid w:val="00D43D09"/>
    <w:rsid w:val="00D448EA"/>
    <w:rsid w:val="00D44CFD"/>
    <w:rsid w:val="00D44EC1"/>
    <w:rsid w:val="00D45D49"/>
    <w:rsid w:val="00D45EF7"/>
    <w:rsid w:val="00D45FB6"/>
    <w:rsid w:val="00D46304"/>
    <w:rsid w:val="00D46D2E"/>
    <w:rsid w:val="00D46FDC"/>
    <w:rsid w:val="00D47044"/>
    <w:rsid w:val="00D47EE2"/>
    <w:rsid w:val="00D50110"/>
    <w:rsid w:val="00D5046F"/>
    <w:rsid w:val="00D5078E"/>
    <w:rsid w:val="00D50CCB"/>
    <w:rsid w:val="00D511E6"/>
    <w:rsid w:val="00D513BC"/>
    <w:rsid w:val="00D5160C"/>
    <w:rsid w:val="00D516B9"/>
    <w:rsid w:val="00D521C5"/>
    <w:rsid w:val="00D522A3"/>
    <w:rsid w:val="00D5264F"/>
    <w:rsid w:val="00D526CA"/>
    <w:rsid w:val="00D528B8"/>
    <w:rsid w:val="00D52BCB"/>
    <w:rsid w:val="00D535C5"/>
    <w:rsid w:val="00D535F7"/>
    <w:rsid w:val="00D536C0"/>
    <w:rsid w:val="00D5400D"/>
    <w:rsid w:val="00D549A2"/>
    <w:rsid w:val="00D55016"/>
    <w:rsid w:val="00D55737"/>
    <w:rsid w:val="00D558B1"/>
    <w:rsid w:val="00D55A1B"/>
    <w:rsid w:val="00D55F0A"/>
    <w:rsid w:val="00D56055"/>
    <w:rsid w:val="00D56177"/>
    <w:rsid w:val="00D563D5"/>
    <w:rsid w:val="00D5673E"/>
    <w:rsid w:val="00D56B32"/>
    <w:rsid w:val="00D5745C"/>
    <w:rsid w:val="00D57466"/>
    <w:rsid w:val="00D576FB"/>
    <w:rsid w:val="00D578EC"/>
    <w:rsid w:val="00D60052"/>
    <w:rsid w:val="00D60261"/>
    <w:rsid w:val="00D6038E"/>
    <w:rsid w:val="00D605D4"/>
    <w:rsid w:val="00D60DA1"/>
    <w:rsid w:val="00D610C1"/>
    <w:rsid w:val="00D6149D"/>
    <w:rsid w:val="00D61D28"/>
    <w:rsid w:val="00D620C4"/>
    <w:rsid w:val="00D622BD"/>
    <w:rsid w:val="00D625E7"/>
    <w:rsid w:val="00D627F7"/>
    <w:rsid w:val="00D62B05"/>
    <w:rsid w:val="00D62FA1"/>
    <w:rsid w:val="00D6304D"/>
    <w:rsid w:val="00D63380"/>
    <w:rsid w:val="00D633AF"/>
    <w:rsid w:val="00D6360C"/>
    <w:rsid w:val="00D638FC"/>
    <w:rsid w:val="00D63978"/>
    <w:rsid w:val="00D63CA0"/>
    <w:rsid w:val="00D63CE4"/>
    <w:rsid w:val="00D63F75"/>
    <w:rsid w:val="00D640E6"/>
    <w:rsid w:val="00D64582"/>
    <w:rsid w:val="00D64961"/>
    <w:rsid w:val="00D6510E"/>
    <w:rsid w:val="00D65371"/>
    <w:rsid w:val="00D6586C"/>
    <w:rsid w:val="00D6598B"/>
    <w:rsid w:val="00D659A4"/>
    <w:rsid w:val="00D66145"/>
    <w:rsid w:val="00D66A8A"/>
    <w:rsid w:val="00D66C1C"/>
    <w:rsid w:val="00D66F0E"/>
    <w:rsid w:val="00D67889"/>
    <w:rsid w:val="00D701B9"/>
    <w:rsid w:val="00D70333"/>
    <w:rsid w:val="00D70460"/>
    <w:rsid w:val="00D7104B"/>
    <w:rsid w:val="00D71280"/>
    <w:rsid w:val="00D71617"/>
    <w:rsid w:val="00D71EB0"/>
    <w:rsid w:val="00D722CF"/>
    <w:rsid w:val="00D72B52"/>
    <w:rsid w:val="00D72F11"/>
    <w:rsid w:val="00D7318B"/>
    <w:rsid w:val="00D73210"/>
    <w:rsid w:val="00D732C3"/>
    <w:rsid w:val="00D737DE"/>
    <w:rsid w:val="00D748E9"/>
    <w:rsid w:val="00D74BF2"/>
    <w:rsid w:val="00D75030"/>
    <w:rsid w:val="00D750A5"/>
    <w:rsid w:val="00D7511C"/>
    <w:rsid w:val="00D755E7"/>
    <w:rsid w:val="00D7587E"/>
    <w:rsid w:val="00D75D40"/>
    <w:rsid w:val="00D760C5"/>
    <w:rsid w:val="00D7695A"/>
    <w:rsid w:val="00D77649"/>
    <w:rsid w:val="00D7788C"/>
    <w:rsid w:val="00D779F9"/>
    <w:rsid w:val="00D77AF0"/>
    <w:rsid w:val="00D77DFF"/>
    <w:rsid w:val="00D80053"/>
    <w:rsid w:val="00D80337"/>
    <w:rsid w:val="00D80462"/>
    <w:rsid w:val="00D80670"/>
    <w:rsid w:val="00D807B7"/>
    <w:rsid w:val="00D8080B"/>
    <w:rsid w:val="00D80A4F"/>
    <w:rsid w:val="00D80BB3"/>
    <w:rsid w:val="00D80DD3"/>
    <w:rsid w:val="00D80E33"/>
    <w:rsid w:val="00D81386"/>
    <w:rsid w:val="00D81EC5"/>
    <w:rsid w:val="00D81F1F"/>
    <w:rsid w:val="00D8212C"/>
    <w:rsid w:val="00D824D5"/>
    <w:rsid w:val="00D827E2"/>
    <w:rsid w:val="00D82AB8"/>
    <w:rsid w:val="00D830A0"/>
    <w:rsid w:val="00D83912"/>
    <w:rsid w:val="00D84009"/>
    <w:rsid w:val="00D840BB"/>
    <w:rsid w:val="00D845A3"/>
    <w:rsid w:val="00D847F5"/>
    <w:rsid w:val="00D849DB"/>
    <w:rsid w:val="00D84B46"/>
    <w:rsid w:val="00D85210"/>
    <w:rsid w:val="00D86791"/>
    <w:rsid w:val="00D86A15"/>
    <w:rsid w:val="00D86B32"/>
    <w:rsid w:val="00D86CDD"/>
    <w:rsid w:val="00D86D62"/>
    <w:rsid w:val="00D86D91"/>
    <w:rsid w:val="00D873CC"/>
    <w:rsid w:val="00D8757F"/>
    <w:rsid w:val="00D876DD"/>
    <w:rsid w:val="00D87AA3"/>
    <w:rsid w:val="00D87ADC"/>
    <w:rsid w:val="00D87BEC"/>
    <w:rsid w:val="00D87E58"/>
    <w:rsid w:val="00D9006C"/>
    <w:rsid w:val="00D9024E"/>
    <w:rsid w:val="00D903F4"/>
    <w:rsid w:val="00D90D80"/>
    <w:rsid w:val="00D910D6"/>
    <w:rsid w:val="00D91386"/>
    <w:rsid w:val="00D922E7"/>
    <w:rsid w:val="00D9255F"/>
    <w:rsid w:val="00D92609"/>
    <w:rsid w:val="00D9266C"/>
    <w:rsid w:val="00D92E4A"/>
    <w:rsid w:val="00D93267"/>
    <w:rsid w:val="00D94257"/>
    <w:rsid w:val="00D94DF7"/>
    <w:rsid w:val="00D9560C"/>
    <w:rsid w:val="00D95A82"/>
    <w:rsid w:val="00D9625F"/>
    <w:rsid w:val="00D963B5"/>
    <w:rsid w:val="00D96488"/>
    <w:rsid w:val="00D967C8"/>
    <w:rsid w:val="00D968CA"/>
    <w:rsid w:val="00D96B03"/>
    <w:rsid w:val="00D96D60"/>
    <w:rsid w:val="00D96DAA"/>
    <w:rsid w:val="00D9756E"/>
    <w:rsid w:val="00D976C2"/>
    <w:rsid w:val="00D97A49"/>
    <w:rsid w:val="00D97CDE"/>
    <w:rsid w:val="00D97DAB"/>
    <w:rsid w:val="00D97ED6"/>
    <w:rsid w:val="00DA0163"/>
    <w:rsid w:val="00DA098A"/>
    <w:rsid w:val="00DA0C94"/>
    <w:rsid w:val="00DA0F0A"/>
    <w:rsid w:val="00DA1332"/>
    <w:rsid w:val="00DA13A0"/>
    <w:rsid w:val="00DA17D0"/>
    <w:rsid w:val="00DA1984"/>
    <w:rsid w:val="00DA1C9F"/>
    <w:rsid w:val="00DA1D64"/>
    <w:rsid w:val="00DA1DFB"/>
    <w:rsid w:val="00DA2028"/>
    <w:rsid w:val="00DA2185"/>
    <w:rsid w:val="00DA2297"/>
    <w:rsid w:val="00DA231C"/>
    <w:rsid w:val="00DA235A"/>
    <w:rsid w:val="00DA2395"/>
    <w:rsid w:val="00DA28EC"/>
    <w:rsid w:val="00DA2920"/>
    <w:rsid w:val="00DA2973"/>
    <w:rsid w:val="00DA30B7"/>
    <w:rsid w:val="00DA37FE"/>
    <w:rsid w:val="00DA395C"/>
    <w:rsid w:val="00DA3A22"/>
    <w:rsid w:val="00DA3AF4"/>
    <w:rsid w:val="00DA422C"/>
    <w:rsid w:val="00DA46B2"/>
    <w:rsid w:val="00DA4706"/>
    <w:rsid w:val="00DA4A0E"/>
    <w:rsid w:val="00DA4DD5"/>
    <w:rsid w:val="00DA5B86"/>
    <w:rsid w:val="00DA5EBB"/>
    <w:rsid w:val="00DA6372"/>
    <w:rsid w:val="00DA65B4"/>
    <w:rsid w:val="00DA6D29"/>
    <w:rsid w:val="00DA7003"/>
    <w:rsid w:val="00DA71CF"/>
    <w:rsid w:val="00DA7390"/>
    <w:rsid w:val="00DA7974"/>
    <w:rsid w:val="00DA79C0"/>
    <w:rsid w:val="00DA7F78"/>
    <w:rsid w:val="00DA7FBB"/>
    <w:rsid w:val="00DA7FEA"/>
    <w:rsid w:val="00DB013B"/>
    <w:rsid w:val="00DB039E"/>
    <w:rsid w:val="00DB03D5"/>
    <w:rsid w:val="00DB0904"/>
    <w:rsid w:val="00DB1851"/>
    <w:rsid w:val="00DB1C06"/>
    <w:rsid w:val="00DB1CD2"/>
    <w:rsid w:val="00DB1D28"/>
    <w:rsid w:val="00DB1FD6"/>
    <w:rsid w:val="00DB2990"/>
    <w:rsid w:val="00DB311E"/>
    <w:rsid w:val="00DB33FD"/>
    <w:rsid w:val="00DB3427"/>
    <w:rsid w:val="00DB36C3"/>
    <w:rsid w:val="00DB3C34"/>
    <w:rsid w:val="00DB3D43"/>
    <w:rsid w:val="00DB3FA3"/>
    <w:rsid w:val="00DB41C2"/>
    <w:rsid w:val="00DB45C2"/>
    <w:rsid w:val="00DB4676"/>
    <w:rsid w:val="00DB4E53"/>
    <w:rsid w:val="00DB5B68"/>
    <w:rsid w:val="00DB5E66"/>
    <w:rsid w:val="00DB5EDB"/>
    <w:rsid w:val="00DB61C3"/>
    <w:rsid w:val="00DB691D"/>
    <w:rsid w:val="00DB6A90"/>
    <w:rsid w:val="00DB6C82"/>
    <w:rsid w:val="00DB6CB7"/>
    <w:rsid w:val="00DB7A41"/>
    <w:rsid w:val="00DB7CC3"/>
    <w:rsid w:val="00DB7D2E"/>
    <w:rsid w:val="00DB7E00"/>
    <w:rsid w:val="00DB7E70"/>
    <w:rsid w:val="00DC0252"/>
    <w:rsid w:val="00DC0913"/>
    <w:rsid w:val="00DC0B96"/>
    <w:rsid w:val="00DC1044"/>
    <w:rsid w:val="00DC146A"/>
    <w:rsid w:val="00DC14BE"/>
    <w:rsid w:val="00DC15D0"/>
    <w:rsid w:val="00DC180D"/>
    <w:rsid w:val="00DC180F"/>
    <w:rsid w:val="00DC1835"/>
    <w:rsid w:val="00DC1B38"/>
    <w:rsid w:val="00DC1B5C"/>
    <w:rsid w:val="00DC1C83"/>
    <w:rsid w:val="00DC1EDE"/>
    <w:rsid w:val="00DC1FAB"/>
    <w:rsid w:val="00DC1FD0"/>
    <w:rsid w:val="00DC208E"/>
    <w:rsid w:val="00DC2104"/>
    <w:rsid w:val="00DC21E0"/>
    <w:rsid w:val="00DC220E"/>
    <w:rsid w:val="00DC2489"/>
    <w:rsid w:val="00DC268A"/>
    <w:rsid w:val="00DC2889"/>
    <w:rsid w:val="00DC296A"/>
    <w:rsid w:val="00DC29D6"/>
    <w:rsid w:val="00DC2B64"/>
    <w:rsid w:val="00DC2BEA"/>
    <w:rsid w:val="00DC2D77"/>
    <w:rsid w:val="00DC33BF"/>
    <w:rsid w:val="00DC3873"/>
    <w:rsid w:val="00DC38D1"/>
    <w:rsid w:val="00DC393F"/>
    <w:rsid w:val="00DC3969"/>
    <w:rsid w:val="00DC3A76"/>
    <w:rsid w:val="00DC3AEA"/>
    <w:rsid w:val="00DC3B40"/>
    <w:rsid w:val="00DC499D"/>
    <w:rsid w:val="00DC4A9E"/>
    <w:rsid w:val="00DC50B5"/>
    <w:rsid w:val="00DC5135"/>
    <w:rsid w:val="00DC5951"/>
    <w:rsid w:val="00DC5953"/>
    <w:rsid w:val="00DC59C8"/>
    <w:rsid w:val="00DC5DC5"/>
    <w:rsid w:val="00DC5EEA"/>
    <w:rsid w:val="00DD0382"/>
    <w:rsid w:val="00DD0E3B"/>
    <w:rsid w:val="00DD1020"/>
    <w:rsid w:val="00DD1EB5"/>
    <w:rsid w:val="00DD2373"/>
    <w:rsid w:val="00DD24C7"/>
    <w:rsid w:val="00DD2B86"/>
    <w:rsid w:val="00DD2E62"/>
    <w:rsid w:val="00DD2EB6"/>
    <w:rsid w:val="00DD385E"/>
    <w:rsid w:val="00DD3F4A"/>
    <w:rsid w:val="00DD40C1"/>
    <w:rsid w:val="00DD42E4"/>
    <w:rsid w:val="00DD4899"/>
    <w:rsid w:val="00DD54D7"/>
    <w:rsid w:val="00DD5552"/>
    <w:rsid w:val="00DD5679"/>
    <w:rsid w:val="00DD5DD3"/>
    <w:rsid w:val="00DD6030"/>
    <w:rsid w:val="00DD6199"/>
    <w:rsid w:val="00DD6234"/>
    <w:rsid w:val="00DD64F3"/>
    <w:rsid w:val="00DD6C04"/>
    <w:rsid w:val="00DD6F77"/>
    <w:rsid w:val="00DD70E9"/>
    <w:rsid w:val="00DD7545"/>
    <w:rsid w:val="00DD75BC"/>
    <w:rsid w:val="00DD770D"/>
    <w:rsid w:val="00DD7936"/>
    <w:rsid w:val="00DD7E11"/>
    <w:rsid w:val="00DE08EE"/>
    <w:rsid w:val="00DE0C6A"/>
    <w:rsid w:val="00DE1855"/>
    <w:rsid w:val="00DE1EAB"/>
    <w:rsid w:val="00DE1F2F"/>
    <w:rsid w:val="00DE2061"/>
    <w:rsid w:val="00DE26EE"/>
    <w:rsid w:val="00DE27FA"/>
    <w:rsid w:val="00DE2A82"/>
    <w:rsid w:val="00DE2B6D"/>
    <w:rsid w:val="00DE2E7D"/>
    <w:rsid w:val="00DE3406"/>
    <w:rsid w:val="00DE37E1"/>
    <w:rsid w:val="00DE3814"/>
    <w:rsid w:val="00DE391D"/>
    <w:rsid w:val="00DE39A1"/>
    <w:rsid w:val="00DE3C60"/>
    <w:rsid w:val="00DE3EED"/>
    <w:rsid w:val="00DE4593"/>
    <w:rsid w:val="00DE4A83"/>
    <w:rsid w:val="00DE4AD5"/>
    <w:rsid w:val="00DE5580"/>
    <w:rsid w:val="00DE5B20"/>
    <w:rsid w:val="00DE5DB5"/>
    <w:rsid w:val="00DE5FF3"/>
    <w:rsid w:val="00DE60E5"/>
    <w:rsid w:val="00DE634F"/>
    <w:rsid w:val="00DE664D"/>
    <w:rsid w:val="00DE6A7B"/>
    <w:rsid w:val="00DE6B0F"/>
    <w:rsid w:val="00DE6C09"/>
    <w:rsid w:val="00DE709A"/>
    <w:rsid w:val="00DE7116"/>
    <w:rsid w:val="00DE75F5"/>
    <w:rsid w:val="00DE76B5"/>
    <w:rsid w:val="00DE7E07"/>
    <w:rsid w:val="00DF004F"/>
    <w:rsid w:val="00DF052F"/>
    <w:rsid w:val="00DF06CB"/>
    <w:rsid w:val="00DF07BA"/>
    <w:rsid w:val="00DF08F2"/>
    <w:rsid w:val="00DF0F35"/>
    <w:rsid w:val="00DF0FF5"/>
    <w:rsid w:val="00DF11FA"/>
    <w:rsid w:val="00DF124D"/>
    <w:rsid w:val="00DF1331"/>
    <w:rsid w:val="00DF13F5"/>
    <w:rsid w:val="00DF194D"/>
    <w:rsid w:val="00DF1B3E"/>
    <w:rsid w:val="00DF1D2E"/>
    <w:rsid w:val="00DF1F77"/>
    <w:rsid w:val="00DF24E3"/>
    <w:rsid w:val="00DF2B33"/>
    <w:rsid w:val="00DF493E"/>
    <w:rsid w:val="00DF49B5"/>
    <w:rsid w:val="00DF49FA"/>
    <w:rsid w:val="00DF4FC6"/>
    <w:rsid w:val="00DF4FCB"/>
    <w:rsid w:val="00DF5619"/>
    <w:rsid w:val="00DF5CAB"/>
    <w:rsid w:val="00DF5EDF"/>
    <w:rsid w:val="00DF615A"/>
    <w:rsid w:val="00DF679C"/>
    <w:rsid w:val="00DF6841"/>
    <w:rsid w:val="00DF7114"/>
    <w:rsid w:val="00DF7492"/>
    <w:rsid w:val="00DF75E6"/>
    <w:rsid w:val="00DF7806"/>
    <w:rsid w:val="00DF7D65"/>
    <w:rsid w:val="00DF7F98"/>
    <w:rsid w:val="00DF7FD1"/>
    <w:rsid w:val="00E0005B"/>
    <w:rsid w:val="00E00672"/>
    <w:rsid w:val="00E0077C"/>
    <w:rsid w:val="00E010D7"/>
    <w:rsid w:val="00E011DC"/>
    <w:rsid w:val="00E013E6"/>
    <w:rsid w:val="00E0165C"/>
    <w:rsid w:val="00E016CB"/>
    <w:rsid w:val="00E01775"/>
    <w:rsid w:val="00E01AC9"/>
    <w:rsid w:val="00E01B79"/>
    <w:rsid w:val="00E02412"/>
    <w:rsid w:val="00E024E6"/>
    <w:rsid w:val="00E0278D"/>
    <w:rsid w:val="00E02A70"/>
    <w:rsid w:val="00E02BC4"/>
    <w:rsid w:val="00E02DC9"/>
    <w:rsid w:val="00E02F19"/>
    <w:rsid w:val="00E032C0"/>
    <w:rsid w:val="00E0380B"/>
    <w:rsid w:val="00E03AF9"/>
    <w:rsid w:val="00E03B96"/>
    <w:rsid w:val="00E045F6"/>
    <w:rsid w:val="00E04A2D"/>
    <w:rsid w:val="00E04B9A"/>
    <w:rsid w:val="00E04FB9"/>
    <w:rsid w:val="00E05408"/>
    <w:rsid w:val="00E055A1"/>
    <w:rsid w:val="00E05EA7"/>
    <w:rsid w:val="00E0691D"/>
    <w:rsid w:val="00E06C3E"/>
    <w:rsid w:val="00E07667"/>
    <w:rsid w:val="00E0773C"/>
    <w:rsid w:val="00E0798C"/>
    <w:rsid w:val="00E07B89"/>
    <w:rsid w:val="00E07FF0"/>
    <w:rsid w:val="00E1021B"/>
    <w:rsid w:val="00E10344"/>
    <w:rsid w:val="00E10ED5"/>
    <w:rsid w:val="00E112B8"/>
    <w:rsid w:val="00E11449"/>
    <w:rsid w:val="00E11642"/>
    <w:rsid w:val="00E11825"/>
    <w:rsid w:val="00E11BF1"/>
    <w:rsid w:val="00E11C50"/>
    <w:rsid w:val="00E11F29"/>
    <w:rsid w:val="00E11F2D"/>
    <w:rsid w:val="00E1210B"/>
    <w:rsid w:val="00E12139"/>
    <w:rsid w:val="00E122D6"/>
    <w:rsid w:val="00E12A55"/>
    <w:rsid w:val="00E12E22"/>
    <w:rsid w:val="00E12E28"/>
    <w:rsid w:val="00E12F0A"/>
    <w:rsid w:val="00E12F43"/>
    <w:rsid w:val="00E13357"/>
    <w:rsid w:val="00E13ED2"/>
    <w:rsid w:val="00E14132"/>
    <w:rsid w:val="00E14A2D"/>
    <w:rsid w:val="00E15278"/>
    <w:rsid w:val="00E15345"/>
    <w:rsid w:val="00E15770"/>
    <w:rsid w:val="00E1581C"/>
    <w:rsid w:val="00E15F47"/>
    <w:rsid w:val="00E16353"/>
    <w:rsid w:val="00E1693D"/>
    <w:rsid w:val="00E16A5A"/>
    <w:rsid w:val="00E16D36"/>
    <w:rsid w:val="00E16FE5"/>
    <w:rsid w:val="00E17D2A"/>
    <w:rsid w:val="00E203B7"/>
    <w:rsid w:val="00E20632"/>
    <w:rsid w:val="00E208BE"/>
    <w:rsid w:val="00E20BE5"/>
    <w:rsid w:val="00E20D5E"/>
    <w:rsid w:val="00E20F4E"/>
    <w:rsid w:val="00E2144F"/>
    <w:rsid w:val="00E2153E"/>
    <w:rsid w:val="00E215F1"/>
    <w:rsid w:val="00E22F03"/>
    <w:rsid w:val="00E2345B"/>
    <w:rsid w:val="00E2387C"/>
    <w:rsid w:val="00E238D0"/>
    <w:rsid w:val="00E24251"/>
    <w:rsid w:val="00E246E9"/>
    <w:rsid w:val="00E24A0F"/>
    <w:rsid w:val="00E24E9F"/>
    <w:rsid w:val="00E25E5A"/>
    <w:rsid w:val="00E261BF"/>
    <w:rsid w:val="00E2685B"/>
    <w:rsid w:val="00E26987"/>
    <w:rsid w:val="00E26B36"/>
    <w:rsid w:val="00E26DD6"/>
    <w:rsid w:val="00E26E2C"/>
    <w:rsid w:val="00E2707B"/>
    <w:rsid w:val="00E2749F"/>
    <w:rsid w:val="00E27601"/>
    <w:rsid w:val="00E27645"/>
    <w:rsid w:val="00E30031"/>
    <w:rsid w:val="00E304F8"/>
    <w:rsid w:val="00E30702"/>
    <w:rsid w:val="00E3078D"/>
    <w:rsid w:val="00E3173F"/>
    <w:rsid w:val="00E31C45"/>
    <w:rsid w:val="00E31ED9"/>
    <w:rsid w:val="00E322C8"/>
    <w:rsid w:val="00E325E4"/>
    <w:rsid w:val="00E32727"/>
    <w:rsid w:val="00E32E4C"/>
    <w:rsid w:val="00E3307E"/>
    <w:rsid w:val="00E335D0"/>
    <w:rsid w:val="00E33BB0"/>
    <w:rsid w:val="00E33F91"/>
    <w:rsid w:val="00E343B2"/>
    <w:rsid w:val="00E346DF"/>
    <w:rsid w:val="00E35012"/>
    <w:rsid w:val="00E351EA"/>
    <w:rsid w:val="00E35607"/>
    <w:rsid w:val="00E367E4"/>
    <w:rsid w:val="00E369CC"/>
    <w:rsid w:val="00E36C0B"/>
    <w:rsid w:val="00E36E4A"/>
    <w:rsid w:val="00E37A29"/>
    <w:rsid w:val="00E4018F"/>
    <w:rsid w:val="00E402D6"/>
    <w:rsid w:val="00E4080F"/>
    <w:rsid w:val="00E408BF"/>
    <w:rsid w:val="00E409D7"/>
    <w:rsid w:val="00E40BCB"/>
    <w:rsid w:val="00E40CAD"/>
    <w:rsid w:val="00E40D08"/>
    <w:rsid w:val="00E411E8"/>
    <w:rsid w:val="00E4138F"/>
    <w:rsid w:val="00E41893"/>
    <w:rsid w:val="00E418A4"/>
    <w:rsid w:val="00E41DB1"/>
    <w:rsid w:val="00E42018"/>
    <w:rsid w:val="00E42245"/>
    <w:rsid w:val="00E42CF2"/>
    <w:rsid w:val="00E43329"/>
    <w:rsid w:val="00E43391"/>
    <w:rsid w:val="00E4362C"/>
    <w:rsid w:val="00E438A6"/>
    <w:rsid w:val="00E43EF7"/>
    <w:rsid w:val="00E43FA9"/>
    <w:rsid w:val="00E44075"/>
    <w:rsid w:val="00E4437D"/>
    <w:rsid w:val="00E4446A"/>
    <w:rsid w:val="00E44579"/>
    <w:rsid w:val="00E451D7"/>
    <w:rsid w:val="00E452AC"/>
    <w:rsid w:val="00E4544B"/>
    <w:rsid w:val="00E457EB"/>
    <w:rsid w:val="00E4597D"/>
    <w:rsid w:val="00E45EBE"/>
    <w:rsid w:val="00E463A2"/>
    <w:rsid w:val="00E4650F"/>
    <w:rsid w:val="00E46555"/>
    <w:rsid w:val="00E46EC1"/>
    <w:rsid w:val="00E47325"/>
    <w:rsid w:val="00E47402"/>
    <w:rsid w:val="00E4794F"/>
    <w:rsid w:val="00E47D3F"/>
    <w:rsid w:val="00E47DA3"/>
    <w:rsid w:val="00E47FA6"/>
    <w:rsid w:val="00E5062B"/>
    <w:rsid w:val="00E5066E"/>
    <w:rsid w:val="00E50CBB"/>
    <w:rsid w:val="00E50D53"/>
    <w:rsid w:val="00E51A36"/>
    <w:rsid w:val="00E51A61"/>
    <w:rsid w:val="00E51CC1"/>
    <w:rsid w:val="00E520D3"/>
    <w:rsid w:val="00E52385"/>
    <w:rsid w:val="00E529B5"/>
    <w:rsid w:val="00E52FC8"/>
    <w:rsid w:val="00E5378B"/>
    <w:rsid w:val="00E53CD7"/>
    <w:rsid w:val="00E541AD"/>
    <w:rsid w:val="00E54354"/>
    <w:rsid w:val="00E54BED"/>
    <w:rsid w:val="00E5522B"/>
    <w:rsid w:val="00E556F9"/>
    <w:rsid w:val="00E55844"/>
    <w:rsid w:val="00E55FD5"/>
    <w:rsid w:val="00E56330"/>
    <w:rsid w:val="00E563B1"/>
    <w:rsid w:val="00E56DC3"/>
    <w:rsid w:val="00E56EA4"/>
    <w:rsid w:val="00E570B0"/>
    <w:rsid w:val="00E571B1"/>
    <w:rsid w:val="00E5770B"/>
    <w:rsid w:val="00E57D2F"/>
    <w:rsid w:val="00E6023E"/>
    <w:rsid w:val="00E602E5"/>
    <w:rsid w:val="00E6036E"/>
    <w:rsid w:val="00E603AF"/>
    <w:rsid w:val="00E60991"/>
    <w:rsid w:val="00E60C38"/>
    <w:rsid w:val="00E60C4A"/>
    <w:rsid w:val="00E61336"/>
    <w:rsid w:val="00E61727"/>
    <w:rsid w:val="00E61F88"/>
    <w:rsid w:val="00E626B9"/>
    <w:rsid w:val="00E62730"/>
    <w:rsid w:val="00E6284F"/>
    <w:rsid w:val="00E62B8B"/>
    <w:rsid w:val="00E630B8"/>
    <w:rsid w:val="00E63396"/>
    <w:rsid w:val="00E6360A"/>
    <w:rsid w:val="00E636D4"/>
    <w:rsid w:val="00E637AB"/>
    <w:rsid w:val="00E63D29"/>
    <w:rsid w:val="00E64355"/>
    <w:rsid w:val="00E64400"/>
    <w:rsid w:val="00E64567"/>
    <w:rsid w:val="00E645EF"/>
    <w:rsid w:val="00E64615"/>
    <w:rsid w:val="00E6498A"/>
    <w:rsid w:val="00E64A18"/>
    <w:rsid w:val="00E64BB0"/>
    <w:rsid w:val="00E65438"/>
    <w:rsid w:val="00E65979"/>
    <w:rsid w:val="00E65A02"/>
    <w:rsid w:val="00E65B71"/>
    <w:rsid w:val="00E66176"/>
    <w:rsid w:val="00E66452"/>
    <w:rsid w:val="00E66ADA"/>
    <w:rsid w:val="00E674C1"/>
    <w:rsid w:val="00E6750B"/>
    <w:rsid w:val="00E679EF"/>
    <w:rsid w:val="00E7030D"/>
    <w:rsid w:val="00E70748"/>
    <w:rsid w:val="00E707FE"/>
    <w:rsid w:val="00E70E2D"/>
    <w:rsid w:val="00E70FF1"/>
    <w:rsid w:val="00E7125D"/>
    <w:rsid w:val="00E71723"/>
    <w:rsid w:val="00E71926"/>
    <w:rsid w:val="00E71AAB"/>
    <w:rsid w:val="00E71BB4"/>
    <w:rsid w:val="00E7221E"/>
    <w:rsid w:val="00E722BC"/>
    <w:rsid w:val="00E722C6"/>
    <w:rsid w:val="00E72A2C"/>
    <w:rsid w:val="00E72B09"/>
    <w:rsid w:val="00E72BC5"/>
    <w:rsid w:val="00E72DB8"/>
    <w:rsid w:val="00E7309D"/>
    <w:rsid w:val="00E734CB"/>
    <w:rsid w:val="00E735F2"/>
    <w:rsid w:val="00E73615"/>
    <w:rsid w:val="00E73841"/>
    <w:rsid w:val="00E73976"/>
    <w:rsid w:val="00E742CD"/>
    <w:rsid w:val="00E74FB6"/>
    <w:rsid w:val="00E75356"/>
    <w:rsid w:val="00E7537E"/>
    <w:rsid w:val="00E754BB"/>
    <w:rsid w:val="00E75896"/>
    <w:rsid w:val="00E75DAE"/>
    <w:rsid w:val="00E75F59"/>
    <w:rsid w:val="00E760DB"/>
    <w:rsid w:val="00E76429"/>
    <w:rsid w:val="00E766E3"/>
    <w:rsid w:val="00E76A87"/>
    <w:rsid w:val="00E76FCF"/>
    <w:rsid w:val="00E771F5"/>
    <w:rsid w:val="00E7793F"/>
    <w:rsid w:val="00E77E4B"/>
    <w:rsid w:val="00E80394"/>
    <w:rsid w:val="00E803FE"/>
    <w:rsid w:val="00E806C3"/>
    <w:rsid w:val="00E80C95"/>
    <w:rsid w:val="00E80CC0"/>
    <w:rsid w:val="00E81BB1"/>
    <w:rsid w:val="00E81C2E"/>
    <w:rsid w:val="00E81D02"/>
    <w:rsid w:val="00E82145"/>
    <w:rsid w:val="00E8273A"/>
    <w:rsid w:val="00E82A0E"/>
    <w:rsid w:val="00E82DBE"/>
    <w:rsid w:val="00E82EBA"/>
    <w:rsid w:val="00E82FCA"/>
    <w:rsid w:val="00E83232"/>
    <w:rsid w:val="00E833EC"/>
    <w:rsid w:val="00E8356B"/>
    <w:rsid w:val="00E83CF9"/>
    <w:rsid w:val="00E8417B"/>
    <w:rsid w:val="00E846B8"/>
    <w:rsid w:val="00E84D1C"/>
    <w:rsid w:val="00E84F38"/>
    <w:rsid w:val="00E852DD"/>
    <w:rsid w:val="00E8549B"/>
    <w:rsid w:val="00E859AB"/>
    <w:rsid w:val="00E85E42"/>
    <w:rsid w:val="00E8606E"/>
    <w:rsid w:val="00E86381"/>
    <w:rsid w:val="00E863CE"/>
    <w:rsid w:val="00E86515"/>
    <w:rsid w:val="00E87855"/>
    <w:rsid w:val="00E878EC"/>
    <w:rsid w:val="00E87C3E"/>
    <w:rsid w:val="00E87C51"/>
    <w:rsid w:val="00E87D08"/>
    <w:rsid w:val="00E87F1E"/>
    <w:rsid w:val="00E90436"/>
    <w:rsid w:val="00E908CF"/>
    <w:rsid w:val="00E90A69"/>
    <w:rsid w:val="00E91231"/>
    <w:rsid w:val="00E9138E"/>
    <w:rsid w:val="00E9159C"/>
    <w:rsid w:val="00E91649"/>
    <w:rsid w:val="00E91C5B"/>
    <w:rsid w:val="00E92ADF"/>
    <w:rsid w:val="00E933AC"/>
    <w:rsid w:val="00E9497A"/>
    <w:rsid w:val="00E949D3"/>
    <w:rsid w:val="00E94B22"/>
    <w:rsid w:val="00E94D6A"/>
    <w:rsid w:val="00E94DF0"/>
    <w:rsid w:val="00E95199"/>
    <w:rsid w:val="00E953A5"/>
    <w:rsid w:val="00E95466"/>
    <w:rsid w:val="00E957A2"/>
    <w:rsid w:val="00E9584C"/>
    <w:rsid w:val="00E958F1"/>
    <w:rsid w:val="00E959E8"/>
    <w:rsid w:val="00E96455"/>
    <w:rsid w:val="00E965BC"/>
    <w:rsid w:val="00E965ED"/>
    <w:rsid w:val="00E96634"/>
    <w:rsid w:val="00E96855"/>
    <w:rsid w:val="00E975A4"/>
    <w:rsid w:val="00EA0CC4"/>
    <w:rsid w:val="00EA13BF"/>
    <w:rsid w:val="00EA13FD"/>
    <w:rsid w:val="00EA1656"/>
    <w:rsid w:val="00EA1BBB"/>
    <w:rsid w:val="00EA2380"/>
    <w:rsid w:val="00EA2C30"/>
    <w:rsid w:val="00EA2CB7"/>
    <w:rsid w:val="00EA2DD9"/>
    <w:rsid w:val="00EA3435"/>
    <w:rsid w:val="00EA43FC"/>
    <w:rsid w:val="00EA4E49"/>
    <w:rsid w:val="00EA51C2"/>
    <w:rsid w:val="00EA5582"/>
    <w:rsid w:val="00EA5A2A"/>
    <w:rsid w:val="00EA60EC"/>
    <w:rsid w:val="00EA6374"/>
    <w:rsid w:val="00EA669D"/>
    <w:rsid w:val="00EA6C55"/>
    <w:rsid w:val="00EA7446"/>
    <w:rsid w:val="00EB0679"/>
    <w:rsid w:val="00EB06B1"/>
    <w:rsid w:val="00EB06DD"/>
    <w:rsid w:val="00EB0959"/>
    <w:rsid w:val="00EB0B01"/>
    <w:rsid w:val="00EB0CE3"/>
    <w:rsid w:val="00EB15BE"/>
    <w:rsid w:val="00EB15E4"/>
    <w:rsid w:val="00EB1947"/>
    <w:rsid w:val="00EB1964"/>
    <w:rsid w:val="00EB1DD4"/>
    <w:rsid w:val="00EB2719"/>
    <w:rsid w:val="00EB2801"/>
    <w:rsid w:val="00EB312F"/>
    <w:rsid w:val="00EB33B1"/>
    <w:rsid w:val="00EB35D8"/>
    <w:rsid w:val="00EB367F"/>
    <w:rsid w:val="00EB3716"/>
    <w:rsid w:val="00EB378C"/>
    <w:rsid w:val="00EB3B93"/>
    <w:rsid w:val="00EB3C93"/>
    <w:rsid w:val="00EB3E6F"/>
    <w:rsid w:val="00EB3EF4"/>
    <w:rsid w:val="00EB4056"/>
    <w:rsid w:val="00EB43BA"/>
    <w:rsid w:val="00EB4894"/>
    <w:rsid w:val="00EB4EDC"/>
    <w:rsid w:val="00EB4FF7"/>
    <w:rsid w:val="00EB503F"/>
    <w:rsid w:val="00EB50FD"/>
    <w:rsid w:val="00EB575F"/>
    <w:rsid w:val="00EB59A8"/>
    <w:rsid w:val="00EB5AA6"/>
    <w:rsid w:val="00EB693F"/>
    <w:rsid w:val="00EB695C"/>
    <w:rsid w:val="00EB6C89"/>
    <w:rsid w:val="00EB6FA6"/>
    <w:rsid w:val="00EB7233"/>
    <w:rsid w:val="00EB7250"/>
    <w:rsid w:val="00EB7436"/>
    <w:rsid w:val="00EB7D3A"/>
    <w:rsid w:val="00EC005A"/>
    <w:rsid w:val="00EC0167"/>
    <w:rsid w:val="00EC0666"/>
    <w:rsid w:val="00EC0B95"/>
    <w:rsid w:val="00EC0CF2"/>
    <w:rsid w:val="00EC12D6"/>
    <w:rsid w:val="00EC20C9"/>
    <w:rsid w:val="00EC2166"/>
    <w:rsid w:val="00EC272E"/>
    <w:rsid w:val="00EC273E"/>
    <w:rsid w:val="00EC475D"/>
    <w:rsid w:val="00EC4876"/>
    <w:rsid w:val="00EC4ED4"/>
    <w:rsid w:val="00EC5042"/>
    <w:rsid w:val="00EC50B7"/>
    <w:rsid w:val="00EC5607"/>
    <w:rsid w:val="00EC5899"/>
    <w:rsid w:val="00EC59A2"/>
    <w:rsid w:val="00EC60A2"/>
    <w:rsid w:val="00EC633F"/>
    <w:rsid w:val="00EC6D09"/>
    <w:rsid w:val="00EC70D3"/>
    <w:rsid w:val="00EC739D"/>
    <w:rsid w:val="00EC79AA"/>
    <w:rsid w:val="00EC7DD8"/>
    <w:rsid w:val="00EC7F35"/>
    <w:rsid w:val="00EC7FA3"/>
    <w:rsid w:val="00ED017D"/>
    <w:rsid w:val="00ED02AB"/>
    <w:rsid w:val="00ED02E6"/>
    <w:rsid w:val="00ED0328"/>
    <w:rsid w:val="00ED04FB"/>
    <w:rsid w:val="00ED0516"/>
    <w:rsid w:val="00ED0619"/>
    <w:rsid w:val="00ED163A"/>
    <w:rsid w:val="00ED17E7"/>
    <w:rsid w:val="00ED1893"/>
    <w:rsid w:val="00ED1D71"/>
    <w:rsid w:val="00ED2544"/>
    <w:rsid w:val="00ED2B7E"/>
    <w:rsid w:val="00ED36E6"/>
    <w:rsid w:val="00ED3705"/>
    <w:rsid w:val="00ED3B86"/>
    <w:rsid w:val="00ED417C"/>
    <w:rsid w:val="00ED4351"/>
    <w:rsid w:val="00ED47D4"/>
    <w:rsid w:val="00ED4955"/>
    <w:rsid w:val="00ED4971"/>
    <w:rsid w:val="00ED4AD7"/>
    <w:rsid w:val="00ED4C35"/>
    <w:rsid w:val="00ED5075"/>
    <w:rsid w:val="00ED5115"/>
    <w:rsid w:val="00ED5560"/>
    <w:rsid w:val="00ED56CC"/>
    <w:rsid w:val="00ED585E"/>
    <w:rsid w:val="00ED5E81"/>
    <w:rsid w:val="00ED6083"/>
    <w:rsid w:val="00ED613D"/>
    <w:rsid w:val="00ED6C45"/>
    <w:rsid w:val="00ED6EE6"/>
    <w:rsid w:val="00ED7245"/>
    <w:rsid w:val="00ED726E"/>
    <w:rsid w:val="00ED77DC"/>
    <w:rsid w:val="00ED7BB2"/>
    <w:rsid w:val="00ED7E8C"/>
    <w:rsid w:val="00EE0871"/>
    <w:rsid w:val="00EE0D6E"/>
    <w:rsid w:val="00EE0E5A"/>
    <w:rsid w:val="00EE1058"/>
    <w:rsid w:val="00EE1251"/>
    <w:rsid w:val="00EE130E"/>
    <w:rsid w:val="00EE148B"/>
    <w:rsid w:val="00EE16D8"/>
    <w:rsid w:val="00EE17BB"/>
    <w:rsid w:val="00EE19E7"/>
    <w:rsid w:val="00EE1B54"/>
    <w:rsid w:val="00EE1E16"/>
    <w:rsid w:val="00EE2153"/>
    <w:rsid w:val="00EE23B4"/>
    <w:rsid w:val="00EE2930"/>
    <w:rsid w:val="00EE3150"/>
    <w:rsid w:val="00EE3248"/>
    <w:rsid w:val="00EE3FDA"/>
    <w:rsid w:val="00EE4165"/>
    <w:rsid w:val="00EE44B0"/>
    <w:rsid w:val="00EE4BF8"/>
    <w:rsid w:val="00EE4D62"/>
    <w:rsid w:val="00EE5081"/>
    <w:rsid w:val="00EE5325"/>
    <w:rsid w:val="00EE539B"/>
    <w:rsid w:val="00EE5582"/>
    <w:rsid w:val="00EE564E"/>
    <w:rsid w:val="00EE5771"/>
    <w:rsid w:val="00EE5A01"/>
    <w:rsid w:val="00EE5C21"/>
    <w:rsid w:val="00EE602C"/>
    <w:rsid w:val="00EE60A5"/>
    <w:rsid w:val="00EE62E3"/>
    <w:rsid w:val="00EE6483"/>
    <w:rsid w:val="00EE687D"/>
    <w:rsid w:val="00EE6A95"/>
    <w:rsid w:val="00EE6C36"/>
    <w:rsid w:val="00EE6C44"/>
    <w:rsid w:val="00EE7646"/>
    <w:rsid w:val="00EE7AC0"/>
    <w:rsid w:val="00EE7DF4"/>
    <w:rsid w:val="00EF0218"/>
    <w:rsid w:val="00EF03DA"/>
    <w:rsid w:val="00EF0C96"/>
    <w:rsid w:val="00EF0D7F"/>
    <w:rsid w:val="00EF1AEC"/>
    <w:rsid w:val="00EF1B43"/>
    <w:rsid w:val="00EF1BB0"/>
    <w:rsid w:val="00EF1C74"/>
    <w:rsid w:val="00EF29F1"/>
    <w:rsid w:val="00EF2A1B"/>
    <w:rsid w:val="00EF2B0C"/>
    <w:rsid w:val="00EF2D67"/>
    <w:rsid w:val="00EF307C"/>
    <w:rsid w:val="00EF312E"/>
    <w:rsid w:val="00EF33CE"/>
    <w:rsid w:val="00EF3511"/>
    <w:rsid w:val="00EF35D4"/>
    <w:rsid w:val="00EF36DF"/>
    <w:rsid w:val="00EF38BF"/>
    <w:rsid w:val="00EF39A3"/>
    <w:rsid w:val="00EF3F7B"/>
    <w:rsid w:val="00EF4515"/>
    <w:rsid w:val="00EF4594"/>
    <w:rsid w:val="00EF4690"/>
    <w:rsid w:val="00EF476C"/>
    <w:rsid w:val="00EF4921"/>
    <w:rsid w:val="00EF4A7B"/>
    <w:rsid w:val="00EF4B8D"/>
    <w:rsid w:val="00EF4D37"/>
    <w:rsid w:val="00EF5501"/>
    <w:rsid w:val="00EF56FD"/>
    <w:rsid w:val="00EF5AEE"/>
    <w:rsid w:val="00EF5C07"/>
    <w:rsid w:val="00EF5EC7"/>
    <w:rsid w:val="00EF61DB"/>
    <w:rsid w:val="00EF695C"/>
    <w:rsid w:val="00EF6D9D"/>
    <w:rsid w:val="00EF732C"/>
    <w:rsid w:val="00EF7677"/>
    <w:rsid w:val="00EF7DCB"/>
    <w:rsid w:val="00EF7F83"/>
    <w:rsid w:val="00F0014F"/>
    <w:rsid w:val="00F0016F"/>
    <w:rsid w:val="00F006A7"/>
    <w:rsid w:val="00F006E4"/>
    <w:rsid w:val="00F00776"/>
    <w:rsid w:val="00F00B43"/>
    <w:rsid w:val="00F00C1D"/>
    <w:rsid w:val="00F00D0D"/>
    <w:rsid w:val="00F00EC4"/>
    <w:rsid w:val="00F00F38"/>
    <w:rsid w:val="00F00FBC"/>
    <w:rsid w:val="00F0132F"/>
    <w:rsid w:val="00F01512"/>
    <w:rsid w:val="00F01771"/>
    <w:rsid w:val="00F01A6C"/>
    <w:rsid w:val="00F01CD3"/>
    <w:rsid w:val="00F01EB6"/>
    <w:rsid w:val="00F0232F"/>
    <w:rsid w:val="00F023C6"/>
    <w:rsid w:val="00F027DD"/>
    <w:rsid w:val="00F02F7E"/>
    <w:rsid w:val="00F0318D"/>
    <w:rsid w:val="00F0321E"/>
    <w:rsid w:val="00F0361C"/>
    <w:rsid w:val="00F03A7B"/>
    <w:rsid w:val="00F03B86"/>
    <w:rsid w:val="00F03C1E"/>
    <w:rsid w:val="00F03D9C"/>
    <w:rsid w:val="00F03DD6"/>
    <w:rsid w:val="00F04214"/>
    <w:rsid w:val="00F043EF"/>
    <w:rsid w:val="00F05678"/>
    <w:rsid w:val="00F0567D"/>
    <w:rsid w:val="00F05BD3"/>
    <w:rsid w:val="00F06022"/>
    <w:rsid w:val="00F06190"/>
    <w:rsid w:val="00F062D7"/>
    <w:rsid w:val="00F06745"/>
    <w:rsid w:val="00F06B3F"/>
    <w:rsid w:val="00F06C4F"/>
    <w:rsid w:val="00F0719A"/>
    <w:rsid w:val="00F072AE"/>
    <w:rsid w:val="00F0730A"/>
    <w:rsid w:val="00F073EA"/>
    <w:rsid w:val="00F07896"/>
    <w:rsid w:val="00F07AC6"/>
    <w:rsid w:val="00F07BA8"/>
    <w:rsid w:val="00F101AC"/>
    <w:rsid w:val="00F1081A"/>
    <w:rsid w:val="00F10C55"/>
    <w:rsid w:val="00F110FA"/>
    <w:rsid w:val="00F11303"/>
    <w:rsid w:val="00F115EC"/>
    <w:rsid w:val="00F12691"/>
    <w:rsid w:val="00F13248"/>
    <w:rsid w:val="00F132A4"/>
    <w:rsid w:val="00F1347B"/>
    <w:rsid w:val="00F13564"/>
    <w:rsid w:val="00F136DD"/>
    <w:rsid w:val="00F13A19"/>
    <w:rsid w:val="00F13BB3"/>
    <w:rsid w:val="00F13D7E"/>
    <w:rsid w:val="00F14047"/>
    <w:rsid w:val="00F1490E"/>
    <w:rsid w:val="00F14AC9"/>
    <w:rsid w:val="00F152D6"/>
    <w:rsid w:val="00F1588B"/>
    <w:rsid w:val="00F159B9"/>
    <w:rsid w:val="00F15C7B"/>
    <w:rsid w:val="00F15EA4"/>
    <w:rsid w:val="00F1620C"/>
    <w:rsid w:val="00F17111"/>
    <w:rsid w:val="00F1754F"/>
    <w:rsid w:val="00F1755C"/>
    <w:rsid w:val="00F175FD"/>
    <w:rsid w:val="00F17781"/>
    <w:rsid w:val="00F178BE"/>
    <w:rsid w:val="00F17E1D"/>
    <w:rsid w:val="00F17FF9"/>
    <w:rsid w:val="00F20462"/>
    <w:rsid w:val="00F2065D"/>
    <w:rsid w:val="00F21B8C"/>
    <w:rsid w:val="00F21C72"/>
    <w:rsid w:val="00F21D0B"/>
    <w:rsid w:val="00F2210D"/>
    <w:rsid w:val="00F2216F"/>
    <w:rsid w:val="00F22578"/>
    <w:rsid w:val="00F23134"/>
    <w:rsid w:val="00F238D2"/>
    <w:rsid w:val="00F23AAB"/>
    <w:rsid w:val="00F2405E"/>
    <w:rsid w:val="00F2411C"/>
    <w:rsid w:val="00F24281"/>
    <w:rsid w:val="00F2450A"/>
    <w:rsid w:val="00F2465C"/>
    <w:rsid w:val="00F249D2"/>
    <w:rsid w:val="00F24C32"/>
    <w:rsid w:val="00F25109"/>
    <w:rsid w:val="00F25560"/>
    <w:rsid w:val="00F2581F"/>
    <w:rsid w:val="00F263D9"/>
    <w:rsid w:val="00F26475"/>
    <w:rsid w:val="00F26721"/>
    <w:rsid w:val="00F26865"/>
    <w:rsid w:val="00F26967"/>
    <w:rsid w:val="00F26D11"/>
    <w:rsid w:val="00F27156"/>
    <w:rsid w:val="00F2758F"/>
    <w:rsid w:val="00F279B8"/>
    <w:rsid w:val="00F27B13"/>
    <w:rsid w:val="00F3033A"/>
    <w:rsid w:val="00F3074E"/>
    <w:rsid w:val="00F30936"/>
    <w:rsid w:val="00F3115F"/>
    <w:rsid w:val="00F311BF"/>
    <w:rsid w:val="00F3175A"/>
    <w:rsid w:val="00F31CCE"/>
    <w:rsid w:val="00F31CD9"/>
    <w:rsid w:val="00F32149"/>
    <w:rsid w:val="00F3231E"/>
    <w:rsid w:val="00F32D6D"/>
    <w:rsid w:val="00F33681"/>
    <w:rsid w:val="00F3370B"/>
    <w:rsid w:val="00F33BD9"/>
    <w:rsid w:val="00F34707"/>
    <w:rsid w:val="00F34A91"/>
    <w:rsid w:val="00F34DCE"/>
    <w:rsid w:val="00F34F03"/>
    <w:rsid w:val="00F35039"/>
    <w:rsid w:val="00F35101"/>
    <w:rsid w:val="00F351DC"/>
    <w:rsid w:val="00F35BFD"/>
    <w:rsid w:val="00F35EBE"/>
    <w:rsid w:val="00F364A6"/>
    <w:rsid w:val="00F36EE2"/>
    <w:rsid w:val="00F3726A"/>
    <w:rsid w:val="00F37993"/>
    <w:rsid w:val="00F37DFB"/>
    <w:rsid w:val="00F404A2"/>
    <w:rsid w:val="00F40F05"/>
    <w:rsid w:val="00F41BA7"/>
    <w:rsid w:val="00F42613"/>
    <w:rsid w:val="00F427EB"/>
    <w:rsid w:val="00F42A7B"/>
    <w:rsid w:val="00F42B39"/>
    <w:rsid w:val="00F42C9B"/>
    <w:rsid w:val="00F43160"/>
    <w:rsid w:val="00F4323A"/>
    <w:rsid w:val="00F43817"/>
    <w:rsid w:val="00F43A48"/>
    <w:rsid w:val="00F43A75"/>
    <w:rsid w:val="00F43C2F"/>
    <w:rsid w:val="00F443C7"/>
    <w:rsid w:val="00F4444E"/>
    <w:rsid w:val="00F44657"/>
    <w:rsid w:val="00F44B7B"/>
    <w:rsid w:val="00F455F3"/>
    <w:rsid w:val="00F45CE7"/>
    <w:rsid w:val="00F45E2C"/>
    <w:rsid w:val="00F465B1"/>
    <w:rsid w:val="00F46756"/>
    <w:rsid w:val="00F46788"/>
    <w:rsid w:val="00F46A12"/>
    <w:rsid w:val="00F46A5E"/>
    <w:rsid w:val="00F46E18"/>
    <w:rsid w:val="00F47145"/>
    <w:rsid w:val="00F4741D"/>
    <w:rsid w:val="00F474C4"/>
    <w:rsid w:val="00F4755B"/>
    <w:rsid w:val="00F47572"/>
    <w:rsid w:val="00F477DE"/>
    <w:rsid w:val="00F47A07"/>
    <w:rsid w:val="00F47E33"/>
    <w:rsid w:val="00F502B4"/>
    <w:rsid w:val="00F50475"/>
    <w:rsid w:val="00F50A4F"/>
    <w:rsid w:val="00F51096"/>
    <w:rsid w:val="00F51413"/>
    <w:rsid w:val="00F515C9"/>
    <w:rsid w:val="00F51781"/>
    <w:rsid w:val="00F517B7"/>
    <w:rsid w:val="00F517FC"/>
    <w:rsid w:val="00F51994"/>
    <w:rsid w:val="00F51EE6"/>
    <w:rsid w:val="00F5247C"/>
    <w:rsid w:val="00F525CC"/>
    <w:rsid w:val="00F52858"/>
    <w:rsid w:val="00F52EC4"/>
    <w:rsid w:val="00F5331A"/>
    <w:rsid w:val="00F5354A"/>
    <w:rsid w:val="00F53720"/>
    <w:rsid w:val="00F53740"/>
    <w:rsid w:val="00F53817"/>
    <w:rsid w:val="00F538D8"/>
    <w:rsid w:val="00F53E5F"/>
    <w:rsid w:val="00F5406D"/>
    <w:rsid w:val="00F540C7"/>
    <w:rsid w:val="00F54129"/>
    <w:rsid w:val="00F5419A"/>
    <w:rsid w:val="00F545E0"/>
    <w:rsid w:val="00F545EE"/>
    <w:rsid w:val="00F546FD"/>
    <w:rsid w:val="00F54E1E"/>
    <w:rsid w:val="00F5501A"/>
    <w:rsid w:val="00F55251"/>
    <w:rsid w:val="00F553C5"/>
    <w:rsid w:val="00F5549C"/>
    <w:rsid w:val="00F55B06"/>
    <w:rsid w:val="00F55CAB"/>
    <w:rsid w:val="00F55DA0"/>
    <w:rsid w:val="00F55DF1"/>
    <w:rsid w:val="00F56007"/>
    <w:rsid w:val="00F564B1"/>
    <w:rsid w:val="00F56502"/>
    <w:rsid w:val="00F566AB"/>
    <w:rsid w:val="00F568AA"/>
    <w:rsid w:val="00F574D8"/>
    <w:rsid w:val="00F575E8"/>
    <w:rsid w:val="00F57956"/>
    <w:rsid w:val="00F57CEB"/>
    <w:rsid w:val="00F57E29"/>
    <w:rsid w:val="00F60330"/>
    <w:rsid w:val="00F6039C"/>
    <w:rsid w:val="00F609A0"/>
    <w:rsid w:val="00F60E04"/>
    <w:rsid w:val="00F61870"/>
    <w:rsid w:val="00F61893"/>
    <w:rsid w:val="00F61E8B"/>
    <w:rsid w:val="00F6288D"/>
    <w:rsid w:val="00F62E6F"/>
    <w:rsid w:val="00F630AF"/>
    <w:rsid w:val="00F632B5"/>
    <w:rsid w:val="00F633CD"/>
    <w:rsid w:val="00F63680"/>
    <w:rsid w:val="00F63A3C"/>
    <w:rsid w:val="00F63D77"/>
    <w:rsid w:val="00F63F6B"/>
    <w:rsid w:val="00F63FDF"/>
    <w:rsid w:val="00F64096"/>
    <w:rsid w:val="00F64964"/>
    <w:rsid w:val="00F64AEE"/>
    <w:rsid w:val="00F64D2F"/>
    <w:rsid w:val="00F6509A"/>
    <w:rsid w:val="00F6608E"/>
    <w:rsid w:val="00F6620B"/>
    <w:rsid w:val="00F6625F"/>
    <w:rsid w:val="00F66631"/>
    <w:rsid w:val="00F66722"/>
    <w:rsid w:val="00F66B82"/>
    <w:rsid w:val="00F66C8A"/>
    <w:rsid w:val="00F676F9"/>
    <w:rsid w:val="00F6775D"/>
    <w:rsid w:val="00F677EA"/>
    <w:rsid w:val="00F679DE"/>
    <w:rsid w:val="00F67D52"/>
    <w:rsid w:val="00F67DD2"/>
    <w:rsid w:val="00F70308"/>
    <w:rsid w:val="00F703BD"/>
    <w:rsid w:val="00F705EC"/>
    <w:rsid w:val="00F70602"/>
    <w:rsid w:val="00F70669"/>
    <w:rsid w:val="00F70F5B"/>
    <w:rsid w:val="00F7165F"/>
    <w:rsid w:val="00F71A12"/>
    <w:rsid w:val="00F71B1C"/>
    <w:rsid w:val="00F71B30"/>
    <w:rsid w:val="00F721F0"/>
    <w:rsid w:val="00F72482"/>
    <w:rsid w:val="00F72977"/>
    <w:rsid w:val="00F73476"/>
    <w:rsid w:val="00F7348B"/>
    <w:rsid w:val="00F73E97"/>
    <w:rsid w:val="00F73FA8"/>
    <w:rsid w:val="00F740C0"/>
    <w:rsid w:val="00F74539"/>
    <w:rsid w:val="00F74863"/>
    <w:rsid w:val="00F748AA"/>
    <w:rsid w:val="00F74AF4"/>
    <w:rsid w:val="00F74E51"/>
    <w:rsid w:val="00F74F33"/>
    <w:rsid w:val="00F76162"/>
    <w:rsid w:val="00F761D4"/>
    <w:rsid w:val="00F764D0"/>
    <w:rsid w:val="00F764E9"/>
    <w:rsid w:val="00F76590"/>
    <w:rsid w:val="00F7665B"/>
    <w:rsid w:val="00F7688B"/>
    <w:rsid w:val="00F76C10"/>
    <w:rsid w:val="00F77977"/>
    <w:rsid w:val="00F77A4A"/>
    <w:rsid w:val="00F77A59"/>
    <w:rsid w:val="00F77DB5"/>
    <w:rsid w:val="00F80764"/>
    <w:rsid w:val="00F807EB"/>
    <w:rsid w:val="00F808CE"/>
    <w:rsid w:val="00F80A72"/>
    <w:rsid w:val="00F810C3"/>
    <w:rsid w:val="00F81370"/>
    <w:rsid w:val="00F816C4"/>
    <w:rsid w:val="00F81A28"/>
    <w:rsid w:val="00F81E5A"/>
    <w:rsid w:val="00F81FDD"/>
    <w:rsid w:val="00F821E8"/>
    <w:rsid w:val="00F82A66"/>
    <w:rsid w:val="00F82DD4"/>
    <w:rsid w:val="00F838D2"/>
    <w:rsid w:val="00F83BCA"/>
    <w:rsid w:val="00F83BCC"/>
    <w:rsid w:val="00F84160"/>
    <w:rsid w:val="00F844F2"/>
    <w:rsid w:val="00F84799"/>
    <w:rsid w:val="00F84C50"/>
    <w:rsid w:val="00F85925"/>
    <w:rsid w:val="00F85B3C"/>
    <w:rsid w:val="00F85F3E"/>
    <w:rsid w:val="00F865DF"/>
    <w:rsid w:val="00F86F69"/>
    <w:rsid w:val="00F871F7"/>
    <w:rsid w:val="00F8758B"/>
    <w:rsid w:val="00F87700"/>
    <w:rsid w:val="00F87947"/>
    <w:rsid w:val="00F87F06"/>
    <w:rsid w:val="00F900C1"/>
    <w:rsid w:val="00F9096C"/>
    <w:rsid w:val="00F90AC7"/>
    <w:rsid w:val="00F90CEE"/>
    <w:rsid w:val="00F9153D"/>
    <w:rsid w:val="00F91ADB"/>
    <w:rsid w:val="00F92078"/>
    <w:rsid w:val="00F9219F"/>
    <w:rsid w:val="00F924AD"/>
    <w:rsid w:val="00F92F39"/>
    <w:rsid w:val="00F93032"/>
    <w:rsid w:val="00F930BC"/>
    <w:rsid w:val="00F934ED"/>
    <w:rsid w:val="00F93A88"/>
    <w:rsid w:val="00F93D58"/>
    <w:rsid w:val="00F942DB"/>
    <w:rsid w:val="00F94560"/>
    <w:rsid w:val="00F946C9"/>
    <w:rsid w:val="00F94C1F"/>
    <w:rsid w:val="00F94FCA"/>
    <w:rsid w:val="00F9509C"/>
    <w:rsid w:val="00F95449"/>
    <w:rsid w:val="00F9562F"/>
    <w:rsid w:val="00F956D6"/>
    <w:rsid w:val="00F956F9"/>
    <w:rsid w:val="00F957B7"/>
    <w:rsid w:val="00F95A96"/>
    <w:rsid w:val="00F95B1C"/>
    <w:rsid w:val="00F960CD"/>
    <w:rsid w:val="00F96281"/>
    <w:rsid w:val="00F9680A"/>
    <w:rsid w:val="00F96869"/>
    <w:rsid w:val="00F9686B"/>
    <w:rsid w:val="00F96A38"/>
    <w:rsid w:val="00F96B17"/>
    <w:rsid w:val="00F96CBA"/>
    <w:rsid w:val="00F96E18"/>
    <w:rsid w:val="00F9701E"/>
    <w:rsid w:val="00F9751F"/>
    <w:rsid w:val="00F97943"/>
    <w:rsid w:val="00F97E6C"/>
    <w:rsid w:val="00FA0351"/>
    <w:rsid w:val="00FA0F6F"/>
    <w:rsid w:val="00FA1134"/>
    <w:rsid w:val="00FA16B9"/>
    <w:rsid w:val="00FA1726"/>
    <w:rsid w:val="00FA1980"/>
    <w:rsid w:val="00FA1D87"/>
    <w:rsid w:val="00FA284D"/>
    <w:rsid w:val="00FA296B"/>
    <w:rsid w:val="00FA2FFA"/>
    <w:rsid w:val="00FA3470"/>
    <w:rsid w:val="00FA3B3A"/>
    <w:rsid w:val="00FA42D5"/>
    <w:rsid w:val="00FA45E6"/>
    <w:rsid w:val="00FA4688"/>
    <w:rsid w:val="00FA48B7"/>
    <w:rsid w:val="00FA5060"/>
    <w:rsid w:val="00FA50F9"/>
    <w:rsid w:val="00FA5574"/>
    <w:rsid w:val="00FA5580"/>
    <w:rsid w:val="00FA558C"/>
    <w:rsid w:val="00FA5B47"/>
    <w:rsid w:val="00FA5C3E"/>
    <w:rsid w:val="00FA6138"/>
    <w:rsid w:val="00FA6649"/>
    <w:rsid w:val="00FA66B1"/>
    <w:rsid w:val="00FA6982"/>
    <w:rsid w:val="00FA6FDB"/>
    <w:rsid w:val="00FA7140"/>
    <w:rsid w:val="00FA7211"/>
    <w:rsid w:val="00FA72E3"/>
    <w:rsid w:val="00FA7CC5"/>
    <w:rsid w:val="00FA7D6D"/>
    <w:rsid w:val="00FA7E55"/>
    <w:rsid w:val="00FA7F80"/>
    <w:rsid w:val="00FB01A0"/>
    <w:rsid w:val="00FB08FC"/>
    <w:rsid w:val="00FB0D95"/>
    <w:rsid w:val="00FB23A3"/>
    <w:rsid w:val="00FB26F2"/>
    <w:rsid w:val="00FB270D"/>
    <w:rsid w:val="00FB2909"/>
    <w:rsid w:val="00FB2C62"/>
    <w:rsid w:val="00FB2F0D"/>
    <w:rsid w:val="00FB32B9"/>
    <w:rsid w:val="00FB38F2"/>
    <w:rsid w:val="00FB3B9A"/>
    <w:rsid w:val="00FB435C"/>
    <w:rsid w:val="00FB45F6"/>
    <w:rsid w:val="00FB4B19"/>
    <w:rsid w:val="00FB4CDD"/>
    <w:rsid w:val="00FB5287"/>
    <w:rsid w:val="00FB5789"/>
    <w:rsid w:val="00FB5B35"/>
    <w:rsid w:val="00FB62AA"/>
    <w:rsid w:val="00FB6858"/>
    <w:rsid w:val="00FB6928"/>
    <w:rsid w:val="00FB6AB1"/>
    <w:rsid w:val="00FB6EB9"/>
    <w:rsid w:val="00FB6ECD"/>
    <w:rsid w:val="00FB6F2E"/>
    <w:rsid w:val="00FB6F82"/>
    <w:rsid w:val="00FB7190"/>
    <w:rsid w:val="00FB731C"/>
    <w:rsid w:val="00FB76C8"/>
    <w:rsid w:val="00FB76E5"/>
    <w:rsid w:val="00FB7A17"/>
    <w:rsid w:val="00FC030F"/>
    <w:rsid w:val="00FC092D"/>
    <w:rsid w:val="00FC0D64"/>
    <w:rsid w:val="00FC137A"/>
    <w:rsid w:val="00FC158F"/>
    <w:rsid w:val="00FC1D68"/>
    <w:rsid w:val="00FC1E65"/>
    <w:rsid w:val="00FC2119"/>
    <w:rsid w:val="00FC37C5"/>
    <w:rsid w:val="00FC3893"/>
    <w:rsid w:val="00FC3BC2"/>
    <w:rsid w:val="00FC3D1F"/>
    <w:rsid w:val="00FC426A"/>
    <w:rsid w:val="00FC4326"/>
    <w:rsid w:val="00FC4B88"/>
    <w:rsid w:val="00FC4C25"/>
    <w:rsid w:val="00FC4F30"/>
    <w:rsid w:val="00FC5426"/>
    <w:rsid w:val="00FC5AD5"/>
    <w:rsid w:val="00FC5BF2"/>
    <w:rsid w:val="00FC5D55"/>
    <w:rsid w:val="00FC5E15"/>
    <w:rsid w:val="00FC5F62"/>
    <w:rsid w:val="00FC5F7A"/>
    <w:rsid w:val="00FC6103"/>
    <w:rsid w:val="00FC6371"/>
    <w:rsid w:val="00FC657E"/>
    <w:rsid w:val="00FC6872"/>
    <w:rsid w:val="00FC6B31"/>
    <w:rsid w:val="00FC6C2F"/>
    <w:rsid w:val="00FC6C40"/>
    <w:rsid w:val="00FC6D65"/>
    <w:rsid w:val="00FC736F"/>
    <w:rsid w:val="00FC7D05"/>
    <w:rsid w:val="00FC7E74"/>
    <w:rsid w:val="00FD020F"/>
    <w:rsid w:val="00FD04E9"/>
    <w:rsid w:val="00FD09EE"/>
    <w:rsid w:val="00FD0BD2"/>
    <w:rsid w:val="00FD1304"/>
    <w:rsid w:val="00FD13FA"/>
    <w:rsid w:val="00FD1421"/>
    <w:rsid w:val="00FD19EA"/>
    <w:rsid w:val="00FD1FF2"/>
    <w:rsid w:val="00FD24E5"/>
    <w:rsid w:val="00FD2986"/>
    <w:rsid w:val="00FD31E6"/>
    <w:rsid w:val="00FD3590"/>
    <w:rsid w:val="00FD41D8"/>
    <w:rsid w:val="00FD437B"/>
    <w:rsid w:val="00FD446E"/>
    <w:rsid w:val="00FD4626"/>
    <w:rsid w:val="00FD4881"/>
    <w:rsid w:val="00FD5525"/>
    <w:rsid w:val="00FD5553"/>
    <w:rsid w:val="00FD56F5"/>
    <w:rsid w:val="00FD58D9"/>
    <w:rsid w:val="00FD5B0B"/>
    <w:rsid w:val="00FD5C08"/>
    <w:rsid w:val="00FD5CF6"/>
    <w:rsid w:val="00FD60F3"/>
    <w:rsid w:val="00FD6209"/>
    <w:rsid w:val="00FD6996"/>
    <w:rsid w:val="00FD7798"/>
    <w:rsid w:val="00FD7917"/>
    <w:rsid w:val="00FD7B33"/>
    <w:rsid w:val="00FD7CC4"/>
    <w:rsid w:val="00FD7EC9"/>
    <w:rsid w:val="00FE036D"/>
    <w:rsid w:val="00FE0B2E"/>
    <w:rsid w:val="00FE14EC"/>
    <w:rsid w:val="00FE1887"/>
    <w:rsid w:val="00FE1ECC"/>
    <w:rsid w:val="00FE2122"/>
    <w:rsid w:val="00FE23B6"/>
    <w:rsid w:val="00FE29AA"/>
    <w:rsid w:val="00FE2D10"/>
    <w:rsid w:val="00FE3067"/>
    <w:rsid w:val="00FE3957"/>
    <w:rsid w:val="00FE3A5A"/>
    <w:rsid w:val="00FE3EC2"/>
    <w:rsid w:val="00FE3F6B"/>
    <w:rsid w:val="00FE4003"/>
    <w:rsid w:val="00FE4E99"/>
    <w:rsid w:val="00FE519B"/>
    <w:rsid w:val="00FE53A1"/>
    <w:rsid w:val="00FE5673"/>
    <w:rsid w:val="00FE5866"/>
    <w:rsid w:val="00FE60CA"/>
    <w:rsid w:val="00FE60D6"/>
    <w:rsid w:val="00FE692B"/>
    <w:rsid w:val="00FE6AC5"/>
    <w:rsid w:val="00FE6D55"/>
    <w:rsid w:val="00FE6E8C"/>
    <w:rsid w:val="00FE6EA1"/>
    <w:rsid w:val="00FE6F14"/>
    <w:rsid w:val="00FE7437"/>
    <w:rsid w:val="00FE799B"/>
    <w:rsid w:val="00FE7EBD"/>
    <w:rsid w:val="00FF09D0"/>
    <w:rsid w:val="00FF0A58"/>
    <w:rsid w:val="00FF0A75"/>
    <w:rsid w:val="00FF0FBF"/>
    <w:rsid w:val="00FF1241"/>
    <w:rsid w:val="00FF14E7"/>
    <w:rsid w:val="00FF1892"/>
    <w:rsid w:val="00FF1915"/>
    <w:rsid w:val="00FF198C"/>
    <w:rsid w:val="00FF1A9B"/>
    <w:rsid w:val="00FF2C6E"/>
    <w:rsid w:val="00FF2E3D"/>
    <w:rsid w:val="00FF32FB"/>
    <w:rsid w:val="00FF3986"/>
    <w:rsid w:val="00FF3A27"/>
    <w:rsid w:val="00FF3AB2"/>
    <w:rsid w:val="00FF3CB7"/>
    <w:rsid w:val="00FF3F46"/>
    <w:rsid w:val="00FF409C"/>
    <w:rsid w:val="00FF43D5"/>
    <w:rsid w:val="00FF4FEE"/>
    <w:rsid w:val="00FF52F7"/>
    <w:rsid w:val="00FF5417"/>
    <w:rsid w:val="00FF5869"/>
    <w:rsid w:val="00FF5ADC"/>
    <w:rsid w:val="00FF5B3D"/>
    <w:rsid w:val="00FF5C6B"/>
    <w:rsid w:val="00FF5CAC"/>
    <w:rsid w:val="00FF5EEB"/>
    <w:rsid w:val="00FF6186"/>
    <w:rsid w:val="00FF65BC"/>
    <w:rsid w:val="00FF6A62"/>
    <w:rsid w:val="00FF6B1B"/>
    <w:rsid w:val="00FF703D"/>
    <w:rsid w:val="00FF711A"/>
    <w:rsid w:val="00FF7128"/>
    <w:rsid w:val="00FF7144"/>
    <w:rsid w:val="00FF7151"/>
    <w:rsid w:val="00FF71DE"/>
    <w:rsid w:val="00FF7592"/>
    <w:rsid w:val="00FF770B"/>
    <w:rsid w:val="00FF78EA"/>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5C679245"/>
  <w15:docId w15:val="{2F9C64B3-25EC-4CAF-8C39-72D1BD72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21E"/>
    <w:rPr>
      <w:rFonts w:ascii="Arial" w:hAnsi="Arial"/>
      <w:sz w:val="19"/>
      <w:szCs w:val="24"/>
    </w:rPr>
  </w:style>
  <w:style w:type="paragraph" w:styleId="Heading1">
    <w:name w:val="heading 1"/>
    <w:basedOn w:val="Normal"/>
    <w:next w:val="Normal"/>
    <w:link w:val="Heading1Char"/>
    <w:qFormat/>
    <w:rsid w:val="00F9686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9661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6A5A"/>
    <w:pPr>
      <w:tabs>
        <w:tab w:val="center" w:pos="4153"/>
        <w:tab w:val="right" w:pos="8306"/>
      </w:tabs>
    </w:pPr>
  </w:style>
  <w:style w:type="paragraph" w:styleId="Footer">
    <w:name w:val="footer"/>
    <w:basedOn w:val="Normal"/>
    <w:rsid w:val="00E16A5A"/>
    <w:pPr>
      <w:tabs>
        <w:tab w:val="center" w:pos="4153"/>
        <w:tab w:val="right" w:pos="8306"/>
      </w:tabs>
    </w:pPr>
  </w:style>
  <w:style w:type="character" w:styleId="Hyperlink">
    <w:name w:val="Hyperlink"/>
    <w:rsid w:val="00C61CDA"/>
    <w:rPr>
      <w:rFonts w:ascii="Verdana" w:hAnsi="Verdana"/>
      <w:color w:val="000080"/>
      <w:sz w:val="18"/>
      <w:szCs w:val="18"/>
      <w:u w:val="single" w:color="000080"/>
    </w:rPr>
  </w:style>
  <w:style w:type="character" w:styleId="FollowedHyperlink">
    <w:name w:val="FollowedHyperlink"/>
    <w:rsid w:val="00C61CDA"/>
    <w:rPr>
      <w:rFonts w:ascii="Verdana" w:hAnsi="Verdana"/>
      <w:color w:val="800080"/>
      <w:sz w:val="18"/>
      <w:szCs w:val="18"/>
      <w:u w:val="single" w:color="800080"/>
    </w:rPr>
  </w:style>
  <w:style w:type="paragraph" w:styleId="BalloonText">
    <w:name w:val="Balloon Text"/>
    <w:basedOn w:val="Normal"/>
    <w:semiHidden/>
    <w:rsid w:val="00B53715"/>
    <w:rPr>
      <w:rFonts w:ascii="Tahoma" w:hAnsi="Tahoma" w:cs="Tahoma"/>
      <w:sz w:val="16"/>
      <w:szCs w:val="16"/>
    </w:rPr>
  </w:style>
  <w:style w:type="paragraph" w:customStyle="1" w:styleId="Default">
    <w:name w:val="Default"/>
    <w:rsid w:val="0076397D"/>
    <w:pPr>
      <w:autoSpaceDE w:val="0"/>
      <w:autoSpaceDN w:val="0"/>
      <w:adjustRightInd w:val="0"/>
    </w:pPr>
    <w:rPr>
      <w:rFonts w:ascii="Verdana" w:hAnsi="Verdana" w:cs="Verdana"/>
      <w:color w:val="000000"/>
      <w:sz w:val="24"/>
      <w:szCs w:val="24"/>
    </w:rPr>
  </w:style>
  <w:style w:type="character" w:styleId="CommentReference">
    <w:name w:val="annotation reference"/>
    <w:rsid w:val="00C273F9"/>
    <w:rPr>
      <w:sz w:val="16"/>
      <w:szCs w:val="16"/>
    </w:rPr>
  </w:style>
  <w:style w:type="paragraph" w:styleId="CommentText">
    <w:name w:val="annotation text"/>
    <w:basedOn w:val="Normal"/>
    <w:link w:val="CommentTextChar"/>
    <w:rsid w:val="00C273F9"/>
    <w:rPr>
      <w:sz w:val="20"/>
      <w:szCs w:val="20"/>
    </w:rPr>
  </w:style>
  <w:style w:type="character" w:customStyle="1" w:styleId="CommentTextChar">
    <w:name w:val="Comment Text Char"/>
    <w:basedOn w:val="DefaultParagraphFont"/>
    <w:link w:val="CommentText"/>
    <w:rsid w:val="00C273F9"/>
  </w:style>
  <w:style w:type="paragraph" w:styleId="CommentSubject">
    <w:name w:val="annotation subject"/>
    <w:basedOn w:val="CommentText"/>
    <w:next w:val="CommentText"/>
    <w:link w:val="CommentSubjectChar"/>
    <w:rsid w:val="00C273F9"/>
    <w:rPr>
      <w:b/>
      <w:bCs/>
    </w:rPr>
  </w:style>
  <w:style w:type="character" w:customStyle="1" w:styleId="CommentSubjectChar">
    <w:name w:val="Comment Subject Char"/>
    <w:link w:val="CommentSubject"/>
    <w:rsid w:val="00C273F9"/>
    <w:rPr>
      <w:b/>
      <w:bCs/>
    </w:rPr>
  </w:style>
  <w:style w:type="character" w:customStyle="1" w:styleId="Heading3Char">
    <w:name w:val="Heading 3 Char"/>
    <w:link w:val="Heading3"/>
    <w:semiHidden/>
    <w:rsid w:val="009661D0"/>
    <w:rPr>
      <w:rFonts w:ascii="Cambria" w:eastAsia="Times New Roman" w:hAnsi="Cambria" w:cs="Times New Roman"/>
      <w:b/>
      <w:bCs/>
      <w:sz w:val="26"/>
      <w:szCs w:val="26"/>
    </w:rPr>
  </w:style>
  <w:style w:type="character" w:customStyle="1" w:styleId="Heading1Char">
    <w:name w:val="Heading 1 Char"/>
    <w:link w:val="Heading1"/>
    <w:rsid w:val="00F96869"/>
    <w:rPr>
      <w:rFonts w:ascii="Cambria" w:eastAsia="Times New Roman" w:hAnsi="Cambria" w:cs="Times New Roman"/>
      <w:b/>
      <w:bCs/>
      <w:kern w:val="32"/>
      <w:sz w:val="32"/>
      <w:szCs w:val="32"/>
    </w:rPr>
  </w:style>
  <w:style w:type="paragraph" w:customStyle="1" w:styleId="Explanatorytext">
    <w:name w:val="Explanatory text"/>
    <w:basedOn w:val="Normal"/>
    <w:link w:val="ExplanatorytextChar"/>
    <w:qFormat/>
    <w:rsid w:val="00CD021E"/>
    <w:pPr>
      <w:tabs>
        <w:tab w:val="center" w:pos="3152"/>
      </w:tabs>
    </w:pPr>
    <w:rPr>
      <w:rFonts w:cs="Arial"/>
      <w:sz w:val="16"/>
      <w:szCs w:val="19"/>
      <w:lang w:val="en-US"/>
    </w:rPr>
  </w:style>
  <w:style w:type="character" w:customStyle="1" w:styleId="ExplanatorytextChar">
    <w:name w:val="Explanatory text Char"/>
    <w:basedOn w:val="DefaultParagraphFont"/>
    <w:link w:val="Explanatorytext"/>
    <w:rsid w:val="00CD021E"/>
    <w:rPr>
      <w:rFonts w:ascii="Arial" w:hAnsi="Arial" w:cs="Arial"/>
      <w:sz w:val="16"/>
      <w:szCs w:val="19"/>
      <w:lang w:val="en-US"/>
    </w:rPr>
  </w:style>
  <w:style w:type="character" w:styleId="UnresolvedMention">
    <w:name w:val="Unresolved Mention"/>
    <w:basedOn w:val="DefaultParagraphFont"/>
    <w:uiPriority w:val="99"/>
    <w:semiHidden/>
    <w:unhideWhenUsed/>
    <w:rsid w:val="00886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655">
      <w:bodyDiv w:val="1"/>
      <w:marLeft w:val="0"/>
      <w:marRight w:val="0"/>
      <w:marTop w:val="0"/>
      <w:marBottom w:val="0"/>
      <w:divBdr>
        <w:top w:val="none" w:sz="0" w:space="0" w:color="auto"/>
        <w:left w:val="none" w:sz="0" w:space="0" w:color="auto"/>
        <w:bottom w:val="none" w:sz="0" w:space="0" w:color="auto"/>
        <w:right w:val="none" w:sz="0" w:space="0" w:color="auto"/>
      </w:divBdr>
    </w:div>
    <w:div w:id="18940625">
      <w:bodyDiv w:val="1"/>
      <w:marLeft w:val="0"/>
      <w:marRight w:val="0"/>
      <w:marTop w:val="0"/>
      <w:marBottom w:val="0"/>
      <w:divBdr>
        <w:top w:val="none" w:sz="0" w:space="0" w:color="auto"/>
        <w:left w:val="none" w:sz="0" w:space="0" w:color="auto"/>
        <w:bottom w:val="none" w:sz="0" w:space="0" w:color="auto"/>
        <w:right w:val="none" w:sz="0" w:space="0" w:color="auto"/>
      </w:divBdr>
    </w:div>
    <w:div w:id="36780126">
      <w:bodyDiv w:val="1"/>
      <w:marLeft w:val="0"/>
      <w:marRight w:val="0"/>
      <w:marTop w:val="0"/>
      <w:marBottom w:val="0"/>
      <w:divBdr>
        <w:top w:val="none" w:sz="0" w:space="0" w:color="auto"/>
        <w:left w:val="none" w:sz="0" w:space="0" w:color="auto"/>
        <w:bottom w:val="none" w:sz="0" w:space="0" w:color="auto"/>
        <w:right w:val="none" w:sz="0" w:space="0" w:color="auto"/>
      </w:divBdr>
    </w:div>
    <w:div w:id="44254406">
      <w:bodyDiv w:val="1"/>
      <w:marLeft w:val="0"/>
      <w:marRight w:val="0"/>
      <w:marTop w:val="0"/>
      <w:marBottom w:val="0"/>
      <w:divBdr>
        <w:top w:val="none" w:sz="0" w:space="0" w:color="auto"/>
        <w:left w:val="none" w:sz="0" w:space="0" w:color="auto"/>
        <w:bottom w:val="none" w:sz="0" w:space="0" w:color="auto"/>
        <w:right w:val="none" w:sz="0" w:space="0" w:color="auto"/>
      </w:divBdr>
    </w:div>
    <w:div w:id="49577063">
      <w:bodyDiv w:val="1"/>
      <w:marLeft w:val="0"/>
      <w:marRight w:val="0"/>
      <w:marTop w:val="0"/>
      <w:marBottom w:val="0"/>
      <w:divBdr>
        <w:top w:val="none" w:sz="0" w:space="0" w:color="auto"/>
        <w:left w:val="none" w:sz="0" w:space="0" w:color="auto"/>
        <w:bottom w:val="none" w:sz="0" w:space="0" w:color="auto"/>
        <w:right w:val="none" w:sz="0" w:space="0" w:color="auto"/>
      </w:divBdr>
    </w:div>
    <w:div w:id="50203157">
      <w:bodyDiv w:val="1"/>
      <w:marLeft w:val="0"/>
      <w:marRight w:val="0"/>
      <w:marTop w:val="0"/>
      <w:marBottom w:val="0"/>
      <w:divBdr>
        <w:top w:val="none" w:sz="0" w:space="0" w:color="auto"/>
        <w:left w:val="none" w:sz="0" w:space="0" w:color="auto"/>
        <w:bottom w:val="none" w:sz="0" w:space="0" w:color="auto"/>
        <w:right w:val="none" w:sz="0" w:space="0" w:color="auto"/>
      </w:divBdr>
    </w:div>
    <w:div w:id="75133025">
      <w:bodyDiv w:val="1"/>
      <w:marLeft w:val="0"/>
      <w:marRight w:val="0"/>
      <w:marTop w:val="0"/>
      <w:marBottom w:val="0"/>
      <w:divBdr>
        <w:top w:val="none" w:sz="0" w:space="0" w:color="auto"/>
        <w:left w:val="none" w:sz="0" w:space="0" w:color="auto"/>
        <w:bottom w:val="none" w:sz="0" w:space="0" w:color="auto"/>
        <w:right w:val="none" w:sz="0" w:space="0" w:color="auto"/>
      </w:divBdr>
    </w:div>
    <w:div w:id="105078129">
      <w:bodyDiv w:val="1"/>
      <w:marLeft w:val="0"/>
      <w:marRight w:val="0"/>
      <w:marTop w:val="0"/>
      <w:marBottom w:val="0"/>
      <w:divBdr>
        <w:top w:val="none" w:sz="0" w:space="0" w:color="auto"/>
        <w:left w:val="none" w:sz="0" w:space="0" w:color="auto"/>
        <w:bottom w:val="none" w:sz="0" w:space="0" w:color="auto"/>
        <w:right w:val="none" w:sz="0" w:space="0" w:color="auto"/>
      </w:divBdr>
    </w:div>
    <w:div w:id="166293802">
      <w:bodyDiv w:val="1"/>
      <w:marLeft w:val="0"/>
      <w:marRight w:val="0"/>
      <w:marTop w:val="0"/>
      <w:marBottom w:val="0"/>
      <w:divBdr>
        <w:top w:val="none" w:sz="0" w:space="0" w:color="auto"/>
        <w:left w:val="none" w:sz="0" w:space="0" w:color="auto"/>
        <w:bottom w:val="none" w:sz="0" w:space="0" w:color="auto"/>
        <w:right w:val="none" w:sz="0" w:space="0" w:color="auto"/>
      </w:divBdr>
    </w:div>
    <w:div w:id="182062482">
      <w:bodyDiv w:val="1"/>
      <w:marLeft w:val="0"/>
      <w:marRight w:val="0"/>
      <w:marTop w:val="0"/>
      <w:marBottom w:val="0"/>
      <w:divBdr>
        <w:top w:val="none" w:sz="0" w:space="0" w:color="auto"/>
        <w:left w:val="none" w:sz="0" w:space="0" w:color="auto"/>
        <w:bottom w:val="none" w:sz="0" w:space="0" w:color="auto"/>
        <w:right w:val="none" w:sz="0" w:space="0" w:color="auto"/>
      </w:divBdr>
    </w:div>
    <w:div w:id="188568170">
      <w:bodyDiv w:val="1"/>
      <w:marLeft w:val="0"/>
      <w:marRight w:val="0"/>
      <w:marTop w:val="0"/>
      <w:marBottom w:val="0"/>
      <w:divBdr>
        <w:top w:val="none" w:sz="0" w:space="0" w:color="auto"/>
        <w:left w:val="none" w:sz="0" w:space="0" w:color="auto"/>
        <w:bottom w:val="none" w:sz="0" w:space="0" w:color="auto"/>
        <w:right w:val="none" w:sz="0" w:space="0" w:color="auto"/>
      </w:divBdr>
    </w:div>
    <w:div w:id="196285041">
      <w:bodyDiv w:val="1"/>
      <w:marLeft w:val="0"/>
      <w:marRight w:val="0"/>
      <w:marTop w:val="0"/>
      <w:marBottom w:val="0"/>
      <w:divBdr>
        <w:top w:val="none" w:sz="0" w:space="0" w:color="auto"/>
        <w:left w:val="none" w:sz="0" w:space="0" w:color="auto"/>
        <w:bottom w:val="none" w:sz="0" w:space="0" w:color="auto"/>
        <w:right w:val="none" w:sz="0" w:space="0" w:color="auto"/>
      </w:divBdr>
    </w:div>
    <w:div w:id="205456442">
      <w:bodyDiv w:val="1"/>
      <w:marLeft w:val="0"/>
      <w:marRight w:val="0"/>
      <w:marTop w:val="0"/>
      <w:marBottom w:val="0"/>
      <w:divBdr>
        <w:top w:val="none" w:sz="0" w:space="0" w:color="auto"/>
        <w:left w:val="none" w:sz="0" w:space="0" w:color="auto"/>
        <w:bottom w:val="none" w:sz="0" w:space="0" w:color="auto"/>
        <w:right w:val="none" w:sz="0" w:space="0" w:color="auto"/>
      </w:divBdr>
    </w:div>
    <w:div w:id="225457942">
      <w:bodyDiv w:val="1"/>
      <w:marLeft w:val="0"/>
      <w:marRight w:val="0"/>
      <w:marTop w:val="0"/>
      <w:marBottom w:val="0"/>
      <w:divBdr>
        <w:top w:val="none" w:sz="0" w:space="0" w:color="auto"/>
        <w:left w:val="none" w:sz="0" w:space="0" w:color="auto"/>
        <w:bottom w:val="none" w:sz="0" w:space="0" w:color="auto"/>
        <w:right w:val="none" w:sz="0" w:space="0" w:color="auto"/>
      </w:divBdr>
    </w:div>
    <w:div w:id="241646439">
      <w:bodyDiv w:val="1"/>
      <w:marLeft w:val="0"/>
      <w:marRight w:val="0"/>
      <w:marTop w:val="0"/>
      <w:marBottom w:val="0"/>
      <w:divBdr>
        <w:top w:val="none" w:sz="0" w:space="0" w:color="auto"/>
        <w:left w:val="none" w:sz="0" w:space="0" w:color="auto"/>
        <w:bottom w:val="none" w:sz="0" w:space="0" w:color="auto"/>
        <w:right w:val="none" w:sz="0" w:space="0" w:color="auto"/>
      </w:divBdr>
    </w:div>
    <w:div w:id="262612622">
      <w:bodyDiv w:val="1"/>
      <w:marLeft w:val="0"/>
      <w:marRight w:val="0"/>
      <w:marTop w:val="0"/>
      <w:marBottom w:val="0"/>
      <w:divBdr>
        <w:top w:val="none" w:sz="0" w:space="0" w:color="auto"/>
        <w:left w:val="none" w:sz="0" w:space="0" w:color="auto"/>
        <w:bottom w:val="none" w:sz="0" w:space="0" w:color="auto"/>
        <w:right w:val="none" w:sz="0" w:space="0" w:color="auto"/>
      </w:divBdr>
    </w:div>
    <w:div w:id="268316975">
      <w:bodyDiv w:val="1"/>
      <w:marLeft w:val="0"/>
      <w:marRight w:val="0"/>
      <w:marTop w:val="0"/>
      <w:marBottom w:val="0"/>
      <w:divBdr>
        <w:top w:val="none" w:sz="0" w:space="0" w:color="auto"/>
        <w:left w:val="none" w:sz="0" w:space="0" w:color="auto"/>
        <w:bottom w:val="none" w:sz="0" w:space="0" w:color="auto"/>
        <w:right w:val="none" w:sz="0" w:space="0" w:color="auto"/>
      </w:divBdr>
    </w:div>
    <w:div w:id="271980019">
      <w:bodyDiv w:val="1"/>
      <w:marLeft w:val="0"/>
      <w:marRight w:val="0"/>
      <w:marTop w:val="0"/>
      <w:marBottom w:val="0"/>
      <w:divBdr>
        <w:top w:val="none" w:sz="0" w:space="0" w:color="auto"/>
        <w:left w:val="none" w:sz="0" w:space="0" w:color="auto"/>
        <w:bottom w:val="none" w:sz="0" w:space="0" w:color="auto"/>
        <w:right w:val="none" w:sz="0" w:space="0" w:color="auto"/>
      </w:divBdr>
    </w:div>
    <w:div w:id="281309733">
      <w:bodyDiv w:val="1"/>
      <w:marLeft w:val="0"/>
      <w:marRight w:val="0"/>
      <w:marTop w:val="0"/>
      <w:marBottom w:val="0"/>
      <w:divBdr>
        <w:top w:val="none" w:sz="0" w:space="0" w:color="auto"/>
        <w:left w:val="none" w:sz="0" w:space="0" w:color="auto"/>
        <w:bottom w:val="none" w:sz="0" w:space="0" w:color="auto"/>
        <w:right w:val="none" w:sz="0" w:space="0" w:color="auto"/>
      </w:divBdr>
    </w:div>
    <w:div w:id="299922167">
      <w:bodyDiv w:val="1"/>
      <w:marLeft w:val="0"/>
      <w:marRight w:val="0"/>
      <w:marTop w:val="0"/>
      <w:marBottom w:val="0"/>
      <w:divBdr>
        <w:top w:val="none" w:sz="0" w:space="0" w:color="auto"/>
        <w:left w:val="none" w:sz="0" w:space="0" w:color="auto"/>
        <w:bottom w:val="none" w:sz="0" w:space="0" w:color="auto"/>
        <w:right w:val="none" w:sz="0" w:space="0" w:color="auto"/>
      </w:divBdr>
    </w:div>
    <w:div w:id="301160891">
      <w:bodyDiv w:val="1"/>
      <w:marLeft w:val="0"/>
      <w:marRight w:val="0"/>
      <w:marTop w:val="0"/>
      <w:marBottom w:val="0"/>
      <w:divBdr>
        <w:top w:val="none" w:sz="0" w:space="0" w:color="auto"/>
        <w:left w:val="none" w:sz="0" w:space="0" w:color="auto"/>
        <w:bottom w:val="none" w:sz="0" w:space="0" w:color="auto"/>
        <w:right w:val="none" w:sz="0" w:space="0" w:color="auto"/>
      </w:divBdr>
    </w:div>
    <w:div w:id="304697955">
      <w:bodyDiv w:val="1"/>
      <w:marLeft w:val="0"/>
      <w:marRight w:val="0"/>
      <w:marTop w:val="0"/>
      <w:marBottom w:val="0"/>
      <w:divBdr>
        <w:top w:val="none" w:sz="0" w:space="0" w:color="auto"/>
        <w:left w:val="none" w:sz="0" w:space="0" w:color="auto"/>
        <w:bottom w:val="none" w:sz="0" w:space="0" w:color="auto"/>
        <w:right w:val="none" w:sz="0" w:space="0" w:color="auto"/>
      </w:divBdr>
    </w:div>
    <w:div w:id="313025055">
      <w:bodyDiv w:val="1"/>
      <w:marLeft w:val="0"/>
      <w:marRight w:val="0"/>
      <w:marTop w:val="0"/>
      <w:marBottom w:val="0"/>
      <w:divBdr>
        <w:top w:val="none" w:sz="0" w:space="0" w:color="auto"/>
        <w:left w:val="none" w:sz="0" w:space="0" w:color="auto"/>
        <w:bottom w:val="none" w:sz="0" w:space="0" w:color="auto"/>
        <w:right w:val="none" w:sz="0" w:space="0" w:color="auto"/>
      </w:divBdr>
    </w:div>
    <w:div w:id="329790941">
      <w:bodyDiv w:val="1"/>
      <w:marLeft w:val="0"/>
      <w:marRight w:val="0"/>
      <w:marTop w:val="0"/>
      <w:marBottom w:val="0"/>
      <w:divBdr>
        <w:top w:val="none" w:sz="0" w:space="0" w:color="auto"/>
        <w:left w:val="none" w:sz="0" w:space="0" w:color="auto"/>
        <w:bottom w:val="none" w:sz="0" w:space="0" w:color="auto"/>
        <w:right w:val="none" w:sz="0" w:space="0" w:color="auto"/>
      </w:divBdr>
    </w:div>
    <w:div w:id="350422774">
      <w:bodyDiv w:val="1"/>
      <w:marLeft w:val="0"/>
      <w:marRight w:val="0"/>
      <w:marTop w:val="0"/>
      <w:marBottom w:val="0"/>
      <w:divBdr>
        <w:top w:val="none" w:sz="0" w:space="0" w:color="auto"/>
        <w:left w:val="none" w:sz="0" w:space="0" w:color="auto"/>
        <w:bottom w:val="none" w:sz="0" w:space="0" w:color="auto"/>
        <w:right w:val="none" w:sz="0" w:space="0" w:color="auto"/>
      </w:divBdr>
    </w:div>
    <w:div w:id="353506112">
      <w:bodyDiv w:val="1"/>
      <w:marLeft w:val="0"/>
      <w:marRight w:val="0"/>
      <w:marTop w:val="0"/>
      <w:marBottom w:val="0"/>
      <w:divBdr>
        <w:top w:val="none" w:sz="0" w:space="0" w:color="auto"/>
        <w:left w:val="none" w:sz="0" w:space="0" w:color="auto"/>
        <w:bottom w:val="none" w:sz="0" w:space="0" w:color="auto"/>
        <w:right w:val="none" w:sz="0" w:space="0" w:color="auto"/>
      </w:divBdr>
    </w:div>
    <w:div w:id="357661603">
      <w:bodyDiv w:val="1"/>
      <w:marLeft w:val="0"/>
      <w:marRight w:val="0"/>
      <w:marTop w:val="0"/>
      <w:marBottom w:val="0"/>
      <w:divBdr>
        <w:top w:val="none" w:sz="0" w:space="0" w:color="auto"/>
        <w:left w:val="none" w:sz="0" w:space="0" w:color="auto"/>
        <w:bottom w:val="none" w:sz="0" w:space="0" w:color="auto"/>
        <w:right w:val="none" w:sz="0" w:space="0" w:color="auto"/>
      </w:divBdr>
    </w:div>
    <w:div w:id="410395297">
      <w:bodyDiv w:val="1"/>
      <w:marLeft w:val="0"/>
      <w:marRight w:val="0"/>
      <w:marTop w:val="0"/>
      <w:marBottom w:val="0"/>
      <w:divBdr>
        <w:top w:val="none" w:sz="0" w:space="0" w:color="auto"/>
        <w:left w:val="none" w:sz="0" w:space="0" w:color="auto"/>
        <w:bottom w:val="none" w:sz="0" w:space="0" w:color="auto"/>
        <w:right w:val="none" w:sz="0" w:space="0" w:color="auto"/>
      </w:divBdr>
    </w:div>
    <w:div w:id="440492896">
      <w:bodyDiv w:val="1"/>
      <w:marLeft w:val="0"/>
      <w:marRight w:val="0"/>
      <w:marTop w:val="0"/>
      <w:marBottom w:val="0"/>
      <w:divBdr>
        <w:top w:val="none" w:sz="0" w:space="0" w:color="auto"/>
        <w:left w:val="none" w:sz="0" w:space="0" w:color="auto"/>
        <w:bottom w:val="none" w:sz="0" w:space="0" w:color="auto"/>
        <w:right w:val="none" w:sz="0" w:space="0" w:color="auto"/>
      </w:divBdr>
    </w:div>
    <w:div w:id="470828134">
      <w:bodyDiv w:val="1"/>
      <w:marLeft w:val="0"/>
      <w:marRight w:val="0"/>
      <w:marTop w:val="0"/>
      <w:marBottom w:val="0"/>
      <w:divBdr>
        <w:top w:val="none" w:sz="0" w:space="0" w:color="auto"/>
        <w:left w:val="none" w:sz="0" w:space="0" w:color="auto"/>
        <w:bottom w:val="none" w:sz="0" w:space="0" w:color="auto"/>
        <w:right w:val="none" w:sz="0" w:space="0" w:color="auto"/>
      </w:divBdr>
    </w:div>
    <w:div w:id="480464002">
      <w:bodyDiv w:val="1"/>
      <w:marLeft w:val="0"/>
      <w:marRight w:val="0"/>
      <w:marTop w:val="0"/>
      <w:marBottom w:val="0"/>
      <w:divBdr>
        <w:top w:val="none" w:sz="0" w:space="0" w:color="auto"/>
        <w:left w:val="none" w:sz="0" w:space="0" w:color="auto"/>
        <w:bottom w:val="none" w:sz="0" w:space="0" w:color="auto"/>
        <w:right w:val="none" w:sz="0" w:space="0" w:color="auto"/>
      </w:divBdr>
    </w:div>
    <w:div w:id="496532464">
      <w:bodyDiv w:val="1"/>
      <w:marLeft w:val="0"/>
      <w:marRight w:val="0"/>
      <w:marTop w:val="0"/>
      <w:marBottom w:val="0"/>
      <w:divBdr>
        <w:top w:val="none" w:sz="0" w:space="0" w:color="auto"/>
        <w:left w:val="none" w:sz="0" w:space="0" w:color="auto"/>
        <w:bottom w:val="none" w:sz="0" w:space="0" w:color="auto"/>
        <w:right w:val="none" w:sz="0" w:space="0" w:color="auto"/>
      </w:divBdr>
    </w:div>
    <w:div w:id="505635167">
      <w:bodyDiv w:val="1"/>
      <w:marLeft w:val="0"/>
      <w:marRight w:val="0"/>
      <w:marTop w:val="0"/>
      <w:marBottom w:val="0"/>
      <w:divBdr>
        <w:top w:val="none" w:sz="0" w:space="0" w:color="auto"/>
        <w:left w:val="none" w:sz="0" w:space="0" w:color="auto"/>
        <w:bottom w:val="none" w:sz="0" w:space="0" w:color="auto"/>
        <w:right w:val="none" w:sz="0" w:space="0" w:color="auto"/>
      </w:divBdr>
    </w:div>
    <w:div w:id="526722528">
      <w:bodyDiv w:val="1"/>
      <w:marLeft w:val="0"/>
      <w:marRight w:val="0"/>
      <w:marTop w:val="0"/>
      <w:marBottom w:val="0"/>
      <w:divBdr>
        <w:top w:val="none" w:sz="0" w:space="0" w:color="auto"/>
        <w:left w:val="none" w:sz="0" w:space="0" w:color="auto"/>
        <w:bottom w:val="none" w:sz="0" w:space="0" w:color="auto"/>
        <w:right w:val="none" w:sz="0" w:space="0" w:color="auto"/>
      </w:divBdr>
    </w:div>
    <w:div w:id="546260429">
      <w:bodyDiv w:val="1"/>
      <w:marLeft w:val="0"/>
      <w:marRight w:val="0"/>
      <w:marTop w:val="0"/>
      <w:marBottom w:val="0"/>
      <w:divBdr>
        <w:top w:val="none" w:sz="0" w:space="0" w:color="auto"/>
        <w:left w:val="none" w:sz="0" w:space="0" w:color="auto"/>
        <w:bottom w:val="none" w:sz="0" w:space="0" w:color="auto"/>
        <w:right w:val="none" w:sz="0" w:space="0" w:color="auto"/>
      </w:divBdr>
    </w:div>
    <w:div w:id="576134585">
      <w:bodyDiv w:val="1"/>
      <w:marLeft w:val="0"/>
      <w:marRight w:val="0"/>
      <w:marTop w:val="0"/>
      <w:marBottom w:val="0"/>
      <w:divBdr>
        <w:top w:val="none" w:sz="0" w:space="0" w:color="auto"/>
        <w:left w:val="none" w:sz="0" w:space="0" w:color="auto"/>
        <w:bottom w:val="none" w:sz="0" w:space="0" w:color="auto"/>
        <w:right w:val="none" w:sz="0" w:space="0" w:color="auto"/>
      </w:divBdr>
    </w:div>
    <w:div w:id="596445269">
      <w:bodyDiv w:val="1"/>
      <w:marLeft w:val="0"/>
      <w:marRight w:val="0"/>
      <w:marTop w:val="0"/>
      <w:marBottom w:val="0"/>
      <w:divBdr>
        <w:top w:val="none" w:sz="0" w:space="0" w:color="auto"/>
        <w:left w:val="none" w:sz="0" w:space="0" w:color="auto"/>
        <w:bottom w:val="none" w:sz="0" w:space="0" w:color="auto"/>
        <w:right w:val="none" w:sz="0" w:space="0" w:color="auto"/>
      </w:divBdr>
    </w:div>
    <w:div w:id="604581575">
      <w:bodyDiv w:val="1"/>
      <w:marLeft w:val="0"/>
      <w:marRight w:val="0"/>
      <w:marTop w:val="0"/>
      <w:marBottom w:val="0"/>
      <w:divBdr>
        <w:top w:val="none" w:sz="0" w:space="0" w:color="auto"/>
        <w:left w:val="none" w:sz="0" w:space="0" w:color="auto"/>
        <w:bottom w:val="none" w:sz="0" w:space="0" w:color="auto"/>
        <w:right w:val="none" w:sz="0" w:space="0" w:color="auto"/>
      </w:divBdr>
    </w:div>
    <w:div w:id="641154061">
      <w:bodyDiv w:val="1"/>
      <w:marLeft w:val="0"/>
      <w:marRight w:val="0"/>
      <w:marTop w:val="0"/>
      <w:marBottom w:val="0"/>
      <w:divBdr>
        <w:top w:val="none" w:sz="0" w:space="0" w:color="auto"/>
        <w:left w:val="none" w:sz="0" w:space="0" w:color="auto"/>
        <w:bottom w:val="none" w:sz="0" w:space="0" w:color="auto"/>
        <w:right w:val="none" w:sz="0" w:space="0" w:color="auto"/>
      </w:divBdr>
    </w:div>
    <w:div w:id="651788207">
      <w:bodyDiv w:val="1"/>
      <w:marLeft w:val="0"/>
      <w:marRight w:val="0"/>
      <w:marTop w:val="0"/>
      <w:marBottom w:val="0"/>
      <w:divBdr>
        <w:top w:val="none" w:sz="0" w:space="0" w:color="auto"/>
        <w:left w:val="none" w:sz="0" w:space="0" w:color="auto"/>
        <w:bottom w:val="none" w:sz="0" w:space="0" w:color="auto"/>
        <w:right w:val="none" w:sz="0" w:space="0" w:color="auto"/>
      </w:divBdr>
    </w:div>
    <w:div w:id="686950297">
      <w:bodyDiv w:val="1"/>
      <w:marLeft w:val="0"/>
      <w:marRight w:val="0"/>
      <w:marTop w:val="0"/>
      <w:marBottom w:val="0"/>
      <w:divBdr>
        <w:top w:val="none" w:sz="0" w:space="0" w:color="auto"/>
        <w:left w:val="none" w:sz="0" w:space="0" w:color="auto"/>
        <w:bottom w:val="none" w:sz="0" w:space="0" w:color="auto"/>
        <w:right w:val="none" w:sz="0" w:space="0" w:color="auto"/>
      </w:divBdr>
    </w:div>
    <w:div w:id="716705382">
      <w:bodyDiv w:val="1"/>
      <w:marLeft w:val="0"/>
      <w:marRight w:val="0"/>
      <w:marTop w:val="0"/>
      <w:marBottom w:val="0"/>
      <w:divBdr>
        <w:top w:val="none" w:sz="0" w:space="0" w:color="auto"/>
        <w:left w:val="none" w:sz="0" w:space="0" w:color="auto"/>
        <w:bottom w:val="none" w:sz="0" w:space="0" w:color="auto"/>
        <w:right w:val="none" w:sz="0" w:space="0" w:color="auto"/>
      </w:divBdr>
    </w:div>
    <w:div w:id="719551592">
      <w:bodyDiv w:val="1"/>
      <w:marLeft w:val="0"/>
      <w:marRight w:val="0"/>
      <w:marTop w:val="0"/>
      <w:marBottom w:val="0"/>
      <w:divBdr>
        <w:top w:val="none" w:sz="0" w:space="0" w:color="auto"/>
        <w:left w:val="none" w:sz="0" w:space="0" w:color="auto"/>
        <w:bottom w:val="none" w:sz="0" w:space="0" w:color="auto"/>
        <w:right w:val="none" w:sz="0" w:space="0" w:color="auto"/>
      </w:divBdr>
    </w:div>
    <w:div w:id="768159267">
      <w:bodyDiv w:val="1"/>
      <w:marLeft w:val="0"/>
      <w:marRight w:val="0"/>
      <w:marTop w:val="0"/>
      <w:marBottom w:val="0"/>
      <w:divBdr>
        <w:top w:val="none" w:sz="0" w:space="0" w:color="auto"/>
        <w:left w:val="none" w:sz="0" w:space="0" w:color="auto"/>
        <w:bottom w:val="none" w:sz="0" w:space="0" w:color="auto"/>
        <w:right w:val="none" w:sz="0" w:space="0" w:color="auto"/>
      </w:divBdr>
    </w:div>
    <w:div w:id="775758363">
      <w:bodyDiv w:val="1"/>
      <w:marLeft w:val="0"/>
      <w:marRight w:val="0"/>
      <w:marTop w:val="0"/>
      <w:marBottom w:val="0"/>
      <w:divBdr>
        <w:top w:val="none" w:sz="0" w:space="0" w:color="auto"/>
        <w:left w:val="none" w:sz="0" w:space="0" w:color="auto"/>
        <w:bottom w:val="none" w:sz="0" w:space="0" w:color="auto"/>
        <w:right w:val="none" w:sz="0" w:space="0" w:color="auto"/>
      </w:divBdr>
    </w:div>
    <w:div w:id="775835043">
      <w:bodyDiv w:val="1"/>
      <w:marLeft w:val="0"/>
      <w:marRight w:val="0"/>
      <w:marTop w:val="0"/>
      <w:marBottom w:val="0"/>
      <w:divBdr>
        <w:top w:val="none" w:sz="0" w:space="0" w:color="auto"/>
        <w:left w:val="none" w:sz="0" w:space="0" w:color="auto"/>
        <w:bottom w:val="none" w:sz="0" w:space="0" w:color="auto"/>
        <w:right w:val="none" w:sz="0" w:space="0" w:color="auto"/>
      </w:divBdr>
    </w:div>
    <w:div w:id="812259928">
      <w:bodyDiv w:val="1"/>
      <w:marLeft w:val="0"/>
      <w:marRight w:val="0"/>
      <w:marTop w:val="0"/>
      <w:marBottom w:val="0"/>
      <w:divBdr>
        <w:top w:val="none" w:sz="0" w:space="0" w:color="auto"/>
        <w:left w:val="none" w:sz="0" w:space="0" w:color="auto"/>
        <w:bottom w:val="none" w:sz="0" w:space="0" w:color="auto"/>
        <w:right w:val="none" w:sz="0" w:space="0" w:color="auto"/>
      </w:divBdr>
    </w:div>
    <w:div w:id="836308796">
      <w:bodyDiv w:val="1"/>
      <w:marLeft w:val="0"/>
      <w:marRight w:val="0"/>
      <w:marTop w:val="0"/>
      <w:marBottom w:val="0"/>
      <w:divBdr>
        <w:top w:val="none" w:sz="0" w:space="0" w:color="auto"/>
        <w:left w:val="none" w:sz="0" w:space="0" w:color="auto"/>
        <w:bottom w:val="none" w:sz="0" w:space="0" w:color="auto"/>
        <w:right w:val="none" w:sz="0" w:space="0" w:color="auto"/>
      </w:divBdr>
    </w:div>
    <w:div w:id="845486405">
      <w:bodyDiv w:val="1"/>
      <w:marLeft w:val="0"/>
      <w:marRight w:val="0"/>
      <w:marTop w:val="0"/>
      <w:marBottom w:val="0"/>
      <w:divBdr>
        <w:top w:val="none" w:sz="0" w:space="0" w:color="auto"/>
        <w:left w:val="none" w:sz="0" w:space="0" w:color="auto"/>
        <w:bottom w:val="none" w:sz="0" w:space="0" w:color="auto"/>
        <w:right w:val="none" w:sz="0" w:space="0" w:color="auto"/>
      </w:divBdr>
    </w:div>
    <w:div w:id="850342537">
      <w:bodyDiv w:val="1"/>
      <w:marLeft w:val="0"/>
      <w:marRight w:val="0"/>
      <w:marTop w:val="0"/>
      <w:marBottom w:val="0"/>
      <w:divBdr>
        <w:top w:val="none" w:sz="0" w:space="0" w:color="auto"/>
        <w:left w:val="none" w:sz="0" w:space="0" w:color="auto"/>
        <w:bottom w:val="none" w:sz="0" w:space="0" w:color="auto"/>
        <w:right w:val="none" w:sz="0" w:space="0" w:color="auto"/>
      </w:divBdr>
    </w:div>
    <w:div w:id="893154804">
      <w:bodyDiv w:val="1"/>
      <w:marLeft w:val="0"/>
      <w:marRight w:val="0"/>
      <w:marTop w:val="0"/>
      <w:marBottom w:val="0"/>
      <w:divBdr>
        <w:top w:val="none" w:sz="0" w:space="0" w:color="auto"/>
        <w:left w:val="none" w:sz="0" w:space="0" w:color="auto"/>
        <w:bottom w:val="none" w:sz="0" w:space="0" w:color="auto"/>
        <w:right w:val="none" w:sz="0" w:space="0" w:color="auto"/>
      </w:divBdr>
    </w:div>
    <w:div w:id="901251177">
      <w:bodyDiv w:val="1"/>
      <w:marLeft w:val="0"/>
      <w:marRight w:val="0"/>
      <w:marTop w:val="0"/>
      <w:marBottom w:val="0"/>
      <w:divBdr>
        <w:top w:val="none" w:sz="0" w:space="0" w:color="auto"/>
        <w:left w:val="none" w:sz="0" w:space="0" w:color="auto"/>
        <w:bottom w:val="none" w:sz="0" w:space="0" w:color="auto"/>
        <w:right w:val="none" w:sz="0" w:space="0" w:color="auto"/>
      </w:divBdr>
    </w:div>
    <w:div w:id="937711592">
      <w:bodyDiv w:val="1"/>
      <w:marLeft w:val="0"/>
      <w:marRight w:val="0"/>
      <w:marTop w:val="0"/>
      <w:marBottom w:val="0"/>
      <w:divBdr>
        <w:top w:val="none" w:sz="0" w:space="0" w:color="auto"/>
        <w:left w:val="none" w:sz="0" w:space="0" w:color="auto"/>
        <w:bottom w:val="none" w:sz="0" w:space="0" w:color="auto"/>
        <w:right w:val="none" w:sz="0" w:space="0" w:color="auto"/>
      </w:divBdr>
    </w:div>
    <w:div w:id="960039579">
      <w:bodyDiv w:val="1"/>
      <w:marLeft w:val="0"/>
      <w:marRight w:val="0"/>
      <w:marTop w:val="0"/>
      <w:marBottom w:val="0"/>
      <w:divBdr>
        <w:top w:val="none" w:sz="0" w:space="0" w:color="auto"/>
        <w:left w:val="none" w:sz="0" w:space="0" w:color="auto"/>
        <w:bottom w:val="none" w:sz="0" w:space="0" w:color="auto"/>
        <w:right w:val="none" w:sz="0" w:space="0" w:color="auto"/>
      </w:divBdr>
    </w:div>
    <w:div w:id="990794495">
      <w:bodyDiv w:val="1"/>
      <w:marLeft w:val="0"/>
      <w:marRight w:val="0"/>
      <w:marTop w:val="0"/>
      <w:marBottom w:val="0"/>
      <w:divBdr>
        <w:top w:val="none" w:sz="0" w:space="0" w:color="auto"/>
        <w:left w:val="none" w:sz="0" w:space="0" w:color="auto"/>
        <w:bottom w:val="none" w:sz="0" w:space="0" w:color="auto"/>
        <w:right w:val="none" w:sz="0" w:space="0" w:color="auto"/>
      </w:divBdr>
    </w:div>
    <w:div w:id="1000737428">
      <w:bodyDiv w:val="1"/>
      <w:marLeft w:val="0"/>
      <w:marRight w:val="0"/>
      <w:marTop w:val="0"/>
      <w:marBottom w:val="0"/>
      <w:divBdr>
        <w:top w:val="none" w:sz="0" w:space="0" w:color="auto"/>
        <w:left w:val="none" w:sz="0" w:space="0" w:color="auto"/>
        <w:bottom w:val="none" w:sz="0" w:space="0" w:color="auto"/>
        <w:right w:val="none" w:sz="0" w:space="0" w:color="auto"/>
      </w:divBdr>
    </w:div>
    <w:div w:id="1011302341">
      <w:bodyDiv w:val="1"/>
      <w:marLeft w:val="0"/>
      <w:marRight w:val="0"/>
      <w:marTop w:val="0"/>
      <w:marBottom w:val="0"/>
      <w:divBdr>
        <w:top w:val="none" w:sz="0" w:space="0" w:color="auto"/>
        <w:left w:val="none" w:sz="0" w:space="0" w:color="auto"/>
        <w:bottom w:val="none" w:sz="0" w:space="0" w:color="auto"/>
        <w:right w:val="none" w:sz="0" w:space="0" w:color="auto"/>
      </w:divBdr>
    </w:div>
    <w:div w:id="1037196896">
      <w:bodyDiv w:val="1"/>
      <w:marLeft w:val="0"/>
      <w:marRight w:val="0"/>
      <w:marTop w:val="0"/>
      <w:marBottom w:val="0"/>
      <w:divBdr>
        <w:top w:val="none" w:sz="0" w:space="0" w:color="auto"/>
        <w:left w:val="none" w:sz="0" w:space="0" w:color="auto"/>
        <w:bottom w:val="none" w:sz="0" w:space="0" w:color="auto"/>
        <w:right w:val="none" w:sz="0" w:space="0" w:color="auto"/>
      </w:divBdr>
    </w:div>
    <w:div w:id="1043209617">
      <w:bodyDiv w:val="1"/>
      <w:marLeft w:val="0"/>
      <w:marRight w:val="0"/>
      <w:marTop w:val="0"/>
      <w:marBottom w:val="0"/>
      <w:divBdr>
        <w:top w:val="none" w:sz="0" w:space="0" w:color="auto"/>
        <w:left w:val="none" w:sz="0" w:space="0" w:color="auto"/>
        <w:bottom w:val="none" w:sz="0" w:space="0" w:color="auto"/>
        <w:right w:val="none" w:sz="0" w:space="0" w:color="auto"/>
      </w:divBdr>
    </w:div>
    <w:div w:id="1095320843">
      <w:bodyDiv w:val="1"/>
      <w:marLeft w:val="0"/>
      <w:marRight w:val="0"/>
      <w:marTop w:val="0"/>
      <w:marBottom w:val="0"/>
      <w:divBdr>
        <w:top w:val="none" w:sz="0" w:space="0" w:color="auto"/>
        <w:left w:val="none" w:sz="0" w:space="0" w:color="auto"/>
        <w:bottom w:val="none" w:sz="0" w:space="0" w:color="auto"/>
        <w:right w:val="none" w:sz="0" w:space="0" w:color="auto"/>
      </w:divBdr>
    </w:div>
    <w:div w:id="1115445023">
      <w:bodyDiv w:val="1"/>
      <w:marLeft w:val="0"/>
      <w:marRight w:val="0"/>
      <w:marTop w:val="0"/>
      <w:marBottom w:val="0"/>
      <w:divBdr>
        <w:top w:val="none" w:sz="0" w:space="0" w:color="auto"/>
        <w:left w:val="none" w:sz="0" w:space="0" w:color="auto"/>
        <w:bottom w:val="none" w:sz="0" w:space="0" w:color="auto"/>
        <w:right w:val="none" w:sz="0" w:space="0" w:color="auto"/>
      </w:divBdr>
    </w:div>
    <w:div w:id="1154033411">
      <w:bodyDiv w:val="1"/>
      <w:marLeft w:val="0"/>
      <w:marRight w:val="0"/>
      <w:marTop w:val="0"/>
      <w:marBottom w:val="0"/>
      <w:divBdr>
        <w:top w:val="none" w:sz="0" w:space="0" w:color="auto"/>
        <w:left w:val="none" w:sz="0" w:space="0" w:color="auto"/>
        <w:bottom w:val="none" w:sz="0" w:space="0" w:color="auto"/>
        <w:right w:val="none" w:sz="0" w:space="0" w:color="auto"/>
      </w:divBdr>
    </w:div>
    <w:div w:id="1185905074">
      <w:bodyDiv w:val="1"/>
      <w:marLeft w:val="0"/>
      <w:marRight w:val="0"/>
      <w:marTop w:val="0"/>
      <w:marBottom w:val="0"/>
      <w:divBdr>
        <w:top w:val="none" w:sz="0" w:space="0" w:color="auto"/>
        <w:left w:val="none" w:sz="0" w:space="0" w:color="auto"/>
        <w:bottom w:val="none" w:sz="0" w:space="0" w:color="auto"/>
        <w:right w:val="none" w:sz="0" w:space="0" w:color="auto"/>
      </w:divBdr>
    </w:div>
    <w:div w:id="1198087235">
      <w:bodyDiv w:val="1"/>
      <w:marLeft w:val="0"/>
      <w:marRight w:val="0"/>
      <w:marTop w:val="0"/>
      <w:marBottom w:val="0"/>
      <w:divBdr>
        <w:top w:val="none" w:sz="0" w:space="0" w:color="auto"/>
        <w:left w:val="none" w:sz="0" w:space="0" w:color="auto"/>
        <w:bottom w:val="none" w:sz="0" w:space="0" w:color="auto"/>
        <w:right w:val="none" w:sz="0" w:space="0" w:color="auto"/>
      </w:divBdr>
    </w:div>
    <w:div w:id="1207252199">
      <w:bodyDiv w:val="1"/>
      <w:marLeft w:val="0"/>
      <w:marRight w:val="0"/>
      <w:marTop w:val="0"/>
      <w:marBottom w:val="0"/>
      <w:divBdr>
        <w:top w:val="none" w:sz="0" w:space="0" w:color="auto"/>
        <w:left w:val="none" w:sz="0" w:space="0" w:color="auto"/>
        <w:bottom w:val="none" w:sz="0" w:space="0" w:color="auto"/>
        <w:right w:val="none" w:sz="0" w:space="0" w:color="auto"/>
      </w:divBdr>
    </w:div>
    <w:div w:id="1234967197">
      <w:bodyDiv w:val="1"/>
      <w:marLeft w:val="0"/>
      <w:marRight w:val="0"/>
      <w:marTop w:val="0"/>
      <w:marBottom w:val="0"/>
      <w:divBdr>
        <w:top w:val="none" w:sz="0" w:space="0" w:color="auto"/>
        <w:left w:val="none" w:sz="0" w:space="0" w:color="auto"/>
        <w:bottom w:val="none" w:sz="0" w:space="0" w:color="auto"/>
        <w:right w:val="none" w:sz="0" w:space="0" w:color="auto"/>
      </w:divBdr>
    </w:div>
    <w:div w:id="1265074049">
      <w:bodyDiv w:val="1"/>
      <w:marLeft w:val="0"/>
      <w:marRight w:val="0"/>
      <w:marTop w:val="0"/>
      <w:marBottom w:val="0"/>
      <w:divBdr>
        <w:top w:val="none" w:sz="0" w:space="0" w:color="auto"/>
        <w:left w:val="none" w:sz="0" w:space="0" w:color="auto"/>
        <w:bottom w:val="none" w:sz="0" w:space="0" w:color="auto"/>
        <w:right w:val="none" w:sz="0" w:space="0" w:color="auto"/>
      </w:divBdr>
    </w:div>
    <w:div w:id="1282154651">
      <w:bodyDiv w:val="1"/>
      <w:marLeft w:val="0"/>
      <w:marRight w:val="0"/>
      <w:marTop w:val="0"/>
      <w:marBottom w:val="0"/>
      <w:divBdr>
        <w:top w:val="none" w:sz="0" w:space="0" w:color="auto"/>
        <w:left w:val="none" w:sz="0" w:space="0" w:color="auto"/>
        <w:bottom w:val="none" w:sz="0" w:space="0" w:color="auto"/>
        <w:right w:val="none" w:sz="0" w:space="0" w:color="auto"/>
      </w:divBdr>
    </w:div>
    <w:div w:id="1294480727">
      <w:bodyDiv w:val="1"/>
      <w:marLeft w:val="0"/>
      <w:marRight w:val="0"/>
      <w:marTop w:val="0"/>
      <w:marBottom w:val="0"/>
      <w:divBdr>
        <w:top w:val="none" w:sz="0" w:space="0" w:color="auto"/>
        <w:left w:val="none" w:sz="0" w:space="0" w:color="auto"/>
        <w:bottom w:val="none" w:sz="0" w:space="0" w:color="auto"/>
        <w:right w:val="none" w:sz="0" w:space="0" w:color="auto"/>
      </w:divBdr>
    </w:div>
    <w:div w:id="1296526062">
      <w:bodyDiv w:val="1"/>
      <w:marLeft w:val="0"/>
      <w:marRight w:val="0"/>
      <w:marTop w:val="0"/>
      <w:marBottom w:val="0"/>
      <w:divBdr>
        <w:top w:val="none" w:sz="0" w:space="0" w:color="auto"/>
        <w:left w:val="none" w:sz="0" w:space="0" w:color="auto"/>
        <w:bottom w:val="none" w:sz="0" w:space="0" w:color="auto"/>
        <w:right w:val="none" w:sz="0" w:space="0" w:color="auto"/>
      </w:divBdr>
    </w:div>
    <w:div w:id="1389257293">
      <w:bodyDiv w:val="1"/>
      <w:marLeft w:val="0"/>
      <w:marRight w:val="0"/>
      <w:marTop w:val="0"/>
      <w:marBottom w:val="0"/>
      <w:divBdr>
        <w:top w:val="none" w:sz="0" w:space="0" w:color="auto"/>
        <w:left w:val="none" w:sz="0" w:space="0" w:color="auto"/>
        <w:bottom w:val="none" w:sz="0" w:space="0" w:color="auto"/>
        <w:right w:val="none" w:sz="0" w:space="0" w:color="auto"/>
      </w:divBdr>
    </w:div>
    <w:div w:id="1392968968">
      <w:bodyDiv w:val="1"/>
      <w:marLeft w:val="0"/>
      <w:marRight w:val="0"/>
      <w:marTop w:val="0"/>
      <w:marBottom w:val="0"/>
      <w:divBdr>
        <w:top w:val="none" w:sz="0" w:space="0" w:color="auto"/>
        <w:left w:val="none" w:sz="0" w:space="0" w:color="auto"/>
        <w:bottom w:val="none" w:sz="0" w:space="0" w:color="auto"/>
        <w:right w:val="none" w:sz="0" w:space="0" w:color="auto"/>
      </w:divBdr>
    </w:div>
    <w:div w:id="1397703627">
      <w:bodyDiv w:val="1"/>
      <w:marLeft w:val="0"/>
      <w:marRight w:val="0"/>
      <w:marTop w:val="0"/>
      <w:marBottom w:val="0"/>
      <w:divBdr>
        <w:top w:val="none" w:sz="0" w:space="0" w:color="auto"/>
        <w:left w:val="none" w:sz="0" w:space="0" w:color="auto"/>
        <w:bottom w:val="none" w:sz="0" w:space="0" w:color="auto"/>
        <w:right w:val="none" w:sz="0" w:space="0" w:color="auto"/>
      </w:divBdr>
    </w:div>
    <w:div w:id="1404990067">
      <w:bodyDiv w:val="1"/>
      <w:marLeft w:val="0"/>
      <w:marRight w:val="0"/>
      <w:marTop w:val="0"/>
      <w:marBottom w:val="0"/>
      <w:divBdr>
        <w:top w:val="none" w:sz="0" w:space="0" w:color="auto"/>
        <w:left w:val="none" w:sz="0" w:space="0" w:color="auto"/>
        <w:bottom w:val="none" w:sz="0" w:space="0" w:color="auto"/>
        <w:right w:val="none" w:sz="0" w:space="0" w:color="auto"/>
      </w:divBdr>
    </w:div>
    <w:div w:id="1429694291">
      <w:bodyDiv w:val="1"/>
      <w:marLeft w:val="0"/>
      <w:marRight w:val="0"/>
      <w:marTop w:val="0"/>
      <w:marBottom w:val="0"/>
      <w:divBdr>
        <w:top w:val="none" w:sz="0" w:space="0" w:color="auto"/>
        <w:left w:val="none" w:sz="0" w:space="0" w:color="auto"/>
        <w:bottom w:val="none" w:sz="0" w:space="0" w:color="auto"/>
        <w:right w:val="none" w:sz="0" w:space="0" w:color="auto"/>
      </w:divBdr>
    </w:div>
    <w:div w:id="1430420429">
      <w:bodyDiv w:val="1"/>
      <w:marLeft w:val="0"/>
      <w:marRight w:val="0"/>
      <w:marTop w:val="0"/>
      <w:marBottom w:val="0"/>
      <w:divBdr>
        <w:top w:val="none" w:sz="0" w:space="0" w:color="auto"/>
        <w:left w:val="none" w:sz="0" w:space="0" w:color="auto"/>
        <w:bottom w:val="none" w:sz="0" w:space="0" w:color="auto"/>
        <w:right w:val="none" w:sz="0" w:space="0" w:color="auto"/>
      </w:divBdr>
    </w:div>
    <w:div w:id="1461341093">
      <w:bodyDiv w:val="1"/>
      <w:marLeft w:val="0"/>
      <w:marRight w:val="0"/>
      <w:marTop w:val="0"/>
      <w:marBottom w:val="0"/>
      <w:divBdr>
        <w:top w:val="none" w:sz="0" w:space="0" w:color="auto"/>
        <w:left w:val="none" w:sz="0" w:space="0" w:color="auto"/>
        <w:bottom w:val="none" w:sz="0" w:space="0" w:color="auto"/>
        <w:right w:val="none" w:sz="0" w:space="0" w:color="auto"/>
      </w:divBdr>
    </w:div>
    <w:div w:id="1468546754">
      <w:bodyDiv w:val="1"/>
      <w:marLeft w:val="0"/>
      <w:marRight w:val="0"/>
      <w:marTop w:val="0"/>
      <w:marBottom w:val="0"/>
      <w:divBdr>
        <w:top w:val="none" w:sz="0" w:space="0" w:color="auto"/>
        <w:left w:val="none" w:sz="0" w:space="0" w:color="auto"/>
        <w:bottom w:val="none" w:sz="0" w:space="0" w:color="auto"/>
        <w:right w:val="none" w:sz="0" w:space="0" w:color="auto"/>
      </w:divBdr>
    </w:div>
    <w:div w:id="1493332429">
      <w:bodyDiv w:val="1"/>
      <w:marLeft w:val="0"/>
      <w:marRight w:val="0"/>
      <w:marTop w:val="0"/>
      <w:marBottom w:val="0"/>
      <w:divBdr>
        <w:top w:val="none" w:sz="0" w:space="0" w:color="auto"/>
        <w:left w:val="none" w:sz="0" w:space="0" w:color="auto"/>
        <w:bottom w:val="none" w:sz="0" w:space="0" w:color="auto"/>
        <w:right w:val="none" w:sz="0" w:space="0" w:color="auto"/>
      </w:divBdr>
    </w:div>
    <w:div w:id="1507793962">
      <w:bodyDiv w:val="1"/>
      <w:marLeft w:val="0"/>
      <w:marRight w:val="0"/>
      <w:marTop w:val="0"/>
      <w:marBottom w:val="0"/>
      <w:divBdr>
        <w:top w:val="none" w:sz="0" w:space="0" w:color="auto"/>
        <w:left w:val="none" w:sz="0" w:space="0" w:color="auto"/>
        <w:bottom w:val="none" w:sz="0" w:space="0" w:color="auto"/>
        <w:right w:val="none" w:sz="0" w:space="0" w:color="auto"/>
      </w:divBdr>
    </w:div>
    <w:div w:id="1594124303">
      <w:bodyDiv w:val="1"/>
      <w:marLeft w:val="0"/>
      <w:marRight w:val="0"/>
      <w:marTop w:val="0"/>
      <w:marBottom w:val="0"/>
      <w:divBdr>
        <w:top w:val="none" w:sz="0" w:space="0" w:color="auto"/>
        <w:left w:val="none" w:sz="0" w:space="0" w:color="auto"/>
        <w:bottom w:val="none" w:sz="0" w:space="0" w:color="auto"/>
        <w:right w:val="none" w:sz="0" w:space="0" w:color="auto"/>
      </w:divBdr>
    </w:div>
    <w:div w:id="1611013285">
      <w:bodyDiv w:val="1"/>
      <w:marLeft w:val="0"/>
      <w:marRight w:val="0"/>
      <w:marTop w:val="0"/>
      <w:marBottom w:val="0"/>
      <w:divBdr>
        <w:top w:val="none" w:sz="0" w:space="0" w:color="auto"/>
        <w:left w:val="none" w:sz="0" w:space="0" w:color="auto"/>
        <w:bottom w:val="none" w:sz="0" w:space="0" w:color="auto"/>
        <w:right w:val="none" w:sz="0" w:space="0" w:color="auto"/>
      </w:divBdr>
    </w:div>
    <w:div w:id="1615209440">
      <w:bodyDiv w:val="1"/>
      <w:marLeft w:val="0"/>
      <w:marRight w:val="0"/>
      <w:marTop w:val="0"/>
      <w:marBottom w:val="0"/>
      <w:divBdr>
        <w:top w:val="none" w:sz="0" w:space="0" w:color="auto"/>
        <w:left w:val="none" w:sz="0" w:space="0" w:color="auto"/>
        <w:bottom w:val="none" w:sz="0" w:space="0" w:color="auto"/>
        <w:right w:val="none" w:sz="0" w:space="0" w:color="auto"/>
      </w:divBdr>
    </w:div>
    <w:div w:id="1639795843">
      <w:bodyDiv w:val="1"/>
      <w:marLeft w:val="0"/>
      <w:marRight w:val="0"/>
      <w:marTop w:val="0"/>
      <w:marBottom w:val="0"/>
      <w:divBdr>
        <w:top w:val="none" w:sz="0" w:space="0" w:color="auto"/>
        <w:left w:val="none" w:sz="0" w:space="0" w:color="auto"/>
        <w:bottom w:val="none" w:sz="0" w:space="0" w:color="auto"/>
        <w:right w:val="none" w:sz="0" w:space="0" w:color="auto"/>
      </w:divBdr>
    </w:div>
    <w:div w:id="1645811258">
      <w:bodyDiv w:val="1"/>
      <w:marLeft w:val="0"/>
      <w:marRight w:val="0"/>
      <w:marTop w:val="0"/>
      <w:marBottom w:val="0"/>
      <w:divBdr>
        <w:top w:val="none" w:sz="0" w:space="0" w:color="auto"/>
        <w:left w:val="none" w:sz="0" w:space="0" w:color="auto"/>
        <w:bottom w:val="none" w:sz="0" w:space="0" w:color="auto"/>
        <w:right w:val="none" w:sz="0" w:space="0" w:color="auto"/>
      </w:divBdr>
    </w:div>
    <w:div w:id="1651712236">
      <w:bodyDiv w:val="1"/>
      <w:marLeft w:val="0"/>
      <w:marRight w:val="0"/>
      <w:marTop w:val="0"/>
      <w:marBottom w:val="0"/>
      <w:divBdr>
        <w:top w:val="none" w:sz="0" w:space="0" w:color="auto"/>
        <w:left w:val="none" w:sz="0" w:space="0" w:color="auto"/>
        <w:bottom w:val="none" w:sz="0" w:space="0" w:color="auto"/>
        <w:right w:val="none" w:sz="0" w:space="0" w:color="auto"/>
      </w:divBdr>
    </w:div>
    <w:div w:id="1674604773">
      <w:bodyDiv w:val="1"/>
      <w:marLeft w:val="0"/>
      <w:marRight w:val="0"/>
      <w:marTop w:val="0"/>
      <w:marBottom w:val="0"/>
      <w:divBdr>
        <w:top w:val="none" w:sz="0" w:space="0" w:color="auto"/>
        <w:left w:val="none" w:sz="0" w:space="0" w:color="auto"/>
        <w:bottom w:val="none" w:sz="0" w:space="0" w:color="auto"/>
        <w:right w:val="none" w:sz="0" w:space="0" w:color="auto"/>
      </w:divBdr>
    </w:div>
    <w:div w:id="1694334174">
      <w:bodyDiv w:val="1"/>
      <w:marLeft w:val="0"/>
      <w:marRight w:val="0"/>
      <w:marTop w:val="0"/>
      <w:marBottom w:val="0"/>
      <w:divBdr>
        <w:top w:val="none" w:sz="0" w:space="0" w:color="auto"/>
        <w:left w:val="none" w:sz="0" w:space="0" w:color="auto"/>
        <w:bottom w:val="none" w:sz="0" w:space="0" w:color="auto"/>
        <w:right w:val="none" w:sz="0" w:space="0" w:color="auto"/>
      </w:divBdr>
    </w:div>
    <w:div w:id="1702977027">
      <w:bodyDiv w:val="1"/>
      <w:marLeft w:val="0"/>
      <w:marRight w:val="0"/>
      <w:marTop w:val="0"/>
      <w:marBottom w:val="0"/>
      <w:divBdr>
        <w:top w:val="none" w:sz="0" w:space="0" w:color="auto"/>
        <w:left w:val="none" w:sz="0" w:space="0" w:color="auto"/>
        <w:bottom w:val="none" w:sz="0" w:space="0" w:color="auto"/>
        <w:right w:val="none" w:sz="0" w:space="0" w:color="auto"/>
      </w:divBdr>
    </w:div>
    <w:div w:id="1714771540">
      <w:bodyDiv w:val="1"/>
      <w:marLeft w:val="0"/>
      <w:marRight w:val="0"/>
      <w:marTop w:val="0"/>
      <w:marBottom w:val="0"/>
      <w:divBdr>
        <w:top w:val="none" w:sz="0" w:space="0" w:color="auto"/>
        <w:left w:val="none" w:sz="0" w:space="0" w:color="auto"/>
        <w:bottom w:val="none" w:sz="0" w:space="0" w:color="auto"/>
        <w:right w:val="none" w:sz="0" w:space="0" w:color="auto"/>
      </w:divBdr>
    </w:div>
    <w:div w:id="1717970674">
      <w:bodyDiv w:val="1"/>
      <w:marLeft w:val="0"/>
      <w:marRight w:val="0"/>
      <w:marTop w:val="0"/>
      <w:marBottom w:val="0"/>
      <w:divBdr>
        <w:top w:val="none" w:sz="0" w:space="0" w:color="auto"/>
        <w:left w:val="none" w:sz="0" w:space="0" w:color="auto"/>
        <w:bottom w:val="none" w:sz="0" w:space="0" w:color="auto"/>
        <w:right w:val="none" w:sz="0" w:space="0" w:color="auto"/>
      </w:divBdr>
    </w:div>
    <w:div w:id="1718627999">
      <w:bodyDiv w:val="1"/>
      <w:marLeft w:val="0"/>
      <w:marRight w:val="0"/>
      <w:marTop w:val="0"/>
      <w:marBottom w:val="0"/>
      <w:divBdr>
        <w:top w:val="none" w:sz="0" w:space="0" w:color="auto"/>
        <w:left w:val="none" w:sz="0" w:space="0" w:color="auto"/>
        <w:bottom w:val="none" w:sz="0" w:space="0" w:color="auto"/>
        <w:right w:val="none" w:sz="0" w:space="0" w:color="auto"/>
      </w:divBdr>
    </w:div>
    <w:div w:id="1760364207">
      <w:bodyDiv w:val="1"/>
      <w:marLeft w:val="0"/>
      <w:marRight w:val="0"/>
      <w:marTop w:val="0"/>
      <w:marBottom w:val="0"/>
      <w:divBdr>
        <w:top w:val="none" w:sz="0" w:space="0" w:color="auto"/>
        <w:left w:val="none" w:sz="0" w:space="0" w:color="auto"/>
        <w:bottom w:val="none" w:sz="0" w:space="0" w:color="auto"/>
        <w:right w:val="none" w:sz="0" w:space="0" w:color="auto"/>
      </w:divBdr>
    </w:div>
    <w:div w:id="1788500207">
      <w:bodyDiv w:val="1"/>
      <w:marLeft w:val="0"/>
      <w:marRight w:val="0"/>
      <w:marTop w:val="0"/>
      <w:marBottom w:val="0"/>
      <w:divBdr>
        <w:top w:val="none" w:sz="0" w:space="0" w:color="auto"/>
        <w:left w:val="none" w:sz="0" w:space="0" w:color="auto"/>
        <w:bottom w:val="none" w:sz="0" w:space="0" w:color="auto"/>
        <w:right w:val="none" w:sz="0" w:space="0" w:color="auto"/>
      </w:divBdr>
    </w:div>
    <w:div w:id="1791583748">
      <w:bodyDiv w:val="1"/>
      <w:marLeft w:val="0"/>
      <w:marRight w:val="0"/>
      <w:marTop w:val="0"/>
      <w:marBottom w:val="0"/>
      <w:divBdr>
        <w:top w:val="none" w:sz="0" w:space="0" w:color="auto"/>
        <w:left w:val="none" w:sz="0" w:space="0" w:color="auto"/>
        <w:bottom w:val="none" w:sz="0" w:space="0" w:color="auto"/>
        <w:right w:val="none" w:sz="0" w:space="0" w:color="auto"/>
      </w:divBdr>
    </w:div>
    <w:div w:id="1820268103">
      <w:bodyDiv w:val="1"/>
      <w:marLeft w:val="0"/>
      <w:marRight w:val="0"/>
      <w:marTop w:val="0"/>
      <w:marBottom w:val="0"/>
      <w:divBdr>
        <w:top w:val="none" w:sz="0" w:space="0" w:color="auto"/>
        <w:left w:val="none" w:sz="0" w:space="0" w:color="auto"/>
        <w:bottom w:val="none" w:sz="0" w:space="0" w:color="auto"/>
        <w:right w:val="none" w:sz="0" w:space="0" w:color="auto"/>
      </w:divBdr>
    </w:div>
    <w:div w:id="1870605754">
      <w:bodyDiv w:val="1"/>
      <w:marLeft w:val="0"/>
      <w:marRight w:val="0"/>
      <w:marTop w:val="0"/>
      <w:marBottom w:val="0"/>
      <w:divBdr>
        <w:top w:val="none" w:sz="0" w:space="0" w:color="auto"/>
        <w:left w:val="none" w:sz="0" w:space="0" w:color="auto"/>
        <w:bottom w:val="none" w:sz="0" w:space="0" w:color="auto"/>
        <w:right w:val="none" w:sz="0" w:space="0" w:color="auto"/>
      </w:divBdr>
    </w:div>
    <w:div w:id="1871601511">
      <w:bodyDiv w:val="1"/>
      <w:marLeft w:val="0"/>
      <w:marRight w:val="0"/>
      <w:marTop w:val="0"/>
      <w:marBottom w:val="0"/>
      <w:divBdr>
        <w:top w:val="none" w:sz="0" w:space="0" w:color="auto"/>
        <w:left w:val="none" w:sz="0" w:space="0" w:color="auto"/>
        <w:bottom w:val="none" w:sz="0" w:space="0" w:color="auto"/>
        <w:right w:val="none" w:sz="0" w:space="0" w:color="auto"/>
      </w:divBdr>
    </w:div>
    <w:div w:id="1914509998">
      <w:bodyDiv w:val="1"/>
      <w:marLeft w:val="0"/>
      <w:marRight w:val="0"/>
      <w:marTop w:val="0"/>
      <w:marBottom w:val="0"/>
      <w:divBdr>
        <w:top w:val="none" w:sz="0" w:space="0" w:color="auto"/>
        <w:left w:val="none" w:sz="0" w:space="0" w:color="auto"/>
        <w:bottom w:val="none" w:sz="0" w:space="0" w:color="auto"/>
        <w:right w:val="none" w:sz="0" w:space="0" w:color="auto"/>
      </w:divBdr>
    </w:div>
    <w:div w:id="1919703644">
      <w:bodyDiv w:val="1"/>
      <w:marLeft w:val="0"/>
      <w:marRight w:val="0"/>
      <w:marTop w:val="0"/>
      <w:marBottom w:val="0"/>
      <w:divBdr>
        <w:top w:val="none" w:sz="0" w:space="0" w:color="auto"/>
        <w:left w:val="none" w:sz="0" w:space="0" w:color="auto"/>
        <w:bottom w:val="none" w:sz="0" w:space="0" w:color="auto"/>
        <w:right w:val="none" w:sz="0" w:space="0" w:color="auto"/>
      </w:divBdr>
    </w:div>
    <w:div w:id="1963149470">
      <w:bodyDiv w:val="1"/>
      <w:marLeft w:val="0"/>
      <w:marRight w:val="0"/>
      <w:marTop w:val="0"/>
      <w:marBottom w:val="0"/>
      <w:divBdr>
        <w:top w:val="none" w:sz="0" w:space="0" w:color="auto"/>
        <w:left w:val="none" w:sz="0" w:space="0" w:color="auto"/>
        <w:bottom w:val="none" w:sz="0" w:space="0" w:color="auto"/>
        <w:right w:val="none" w:sz="0" w:space="0" w:color="auto"/>
      </w:divBdr>
    </w:div>
    <w:div w:id="1981298860">
      <w:bodyDiv w:val="1"/>
      <w:marLeft w:val="0"/>
      <w:marRight w:val="0"/>
      <w:marTop w:val="0"/>
      <w:marBottom w:val="0"/>
      <w:divBdr>
        <w:top w:val="none" w:sz="0" w:space="0" w:color="auto"/>
        <w:left w:val="none" w:sz="0" w:space="0" w:color="auto"/>
        <w:bottom w:val="none" w:sz="0" w:space="0" w:color="auto"/>
        <w:right w:val="none" w:sz="0" w:space="0" w:color="auto"/>
      </w:divBdr>
    </w:div>
    <w:div w:id="2027242316">
      <w:bodyDiv w:val="1"/>
      <w:marLeft w:val="0"/>
      <w:marRight w:val="0"/>
      <w:marTop w:val="0"/>
      <w:marBottom w:val="0"/>
      <w:divBdr>
        <w:top w:val="none" w:sz="0" w:space="0" w:color="auto"/>
        <w:left w:val="none" w:sz="0" w:space="0" w:color="auto"/>
        <w:bottom w:val="none" w:sz="0" w:space="0" w:color="auto"/>
        <w:right w:val="none" w:sz="0" w:space="0" w:color="auto"/>
      </w:divBdr>
    </w:div>
    <w:div w:id="2029721901">
      <w:bodyDiv w:val="1"/>
      <w:marLeft w:val="0"/>
      <w:marRight w:val="0"/>
      <w:marTop w:val="0"/>
      <w:marBottom w:val="0"/>
      <w:divBdr>
        <w:top w:val="none" w:sz="0" w:space="0" w:color="auto"/>
        <w:left w:val="none" w:sz="0" w:space="0" w:color="auto"/>
        <w:bottom w:val="none" w:sz="0" w:space="0" w:color="auto"/>
        <w:right w:val="none" w:sz="0" w:space="0" w:color="auto"/>
      </w:divBdr>
    </w:div>
    <w:div w:id="2135370551">
      <w:bodyDiv w:val="1"/>
      <w:marLeft w:val="0"/>
      <w:marRight w:val="0"/>
      <w:marTop w:val="0"/>
      <w:marBottom w:val="0"/>
      <w:divBdr>
        <w:top w:val="none" w:sz="0" w:space="0" w:color="auto"/>
        <w:left w:val="none" w:sz="0" w:space="0" w:color="auto"/>
        <w:bottom w:val="none" w:sz="0" w:space="0" w:color="auto"/>
        <w:right w:val="none" w:sz="0" w:space="0" w:color="auto"/>
      </w:divBdr>
      <w:divsChild>
        <w:div w:id="48204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nhs.uk"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roducts.mhra.gov.uk/search/?search=keytruda&amp;page=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roducts.mhra.gov.uk/search/?search=amgevita+hcf&amp;page=1&amp;doc=Spc&amp;rerouteType=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wmedinfo@nhs.net?subject=New%20Medicines%20Newsletter"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kmi.nhs.uk/nd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www.sps.nhs.uk/articles/sps-horizon-scanning/" TargetMode="External"/><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hyperlink" Target="https://www.sps.nhs.uk/home/planning/annual-medicines-plannin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PU\MedicinesInfo\Publications%20NWMIC\New%20Medicines%20News%20(incl%20Clinical%20Pharmacist)\Admin\New%20Medicines%20New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E074-DAC3-464B-8E55-38477415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Medicines News template 2024</Template>
  <TotalTime>679</TotalTime>
  <Pages>6</Pages>
  <Words>2685</Words>
  <Characters>17236</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NDO home | Contact | Register for NDO access</vt:lpstr>
    </vt:vector>
  </TitlesOfParts>
  <Company>NMHIS</Company>
  <LinksUpToDate>false</LinksUpToDate>
  <CharactersWithSpaces>19882</CharactersWithSpaces>
  <SharedDoc>false</SharedDoc>
  <HLinks>
    <vt:vector size="498" baseType="variant">
      <vt:variant>
        <vt:i4>458841</vt:i4>
      </vt:variant>
      <vt:variant>
        <vt:i4>228</vt:i4>
      </vt:variant>
      <vt:variant>
        <vt:i4>0</vt:i4>
      </vt:variant>
      <vt:variant>
        <vt:i4>5</vt:i4>
      </vt:variant>
      <vt:variant>
        <vt:lpwstr>https://www.sps.nhs.uk/medicines/zuranolone/</vt:lpwstr>
      </vt:variant>
      <vt:variant>
        <vt:lpwstr/>
      </vt:variant>
      <vt:variant>
        <vt:i4>7602219</vt:i4>
      </vt:variant>
      <vt:variant>
        <vt:i4>225</vt:i4>
      </vt:variant>
      <vt:variant>
        <vt:i4>0</vt:i4>
      </vt:variant>
      <vt:variant>
        <vt:i4>5</vt:i4>
      </vt:variant>
      <vt:variant>
        <vt:lpwstr>https://www.sps.nhs.uk/medicines/zoliflodacin/</vt:lpwstr>
      </vt:variant>
      <vt:variant>
        <vt:lpwstr/>
      </vt:variant>
      <vt:variant>
        <vt:i4>8323111</vt:i4>
      </vt:variant>
      <vt:variant>
        <vt:i4>222</vt:i4>
      </vt:variant>
      <vt:variant>
        <vt:i4>0</vt:i4>
      </vt:variant>
      <vt:variant>
        <vt:i4>5</vt:i4>
      </vt:variant>
      <vt:variant>
        <vt:lpwstr>https://www.sps.nhs.uk/medicines/upadacitinib/</vt:lpwstr>
      </vt:variant>
      <vt:variant>
        <vt:lpwstr/>
      </vt:variant>
      <vt:variant>
        <vt:i4>5570648</vt:i4>
      </vt:variant>
      <vt:variant>
        <vt:i4>219</vt:i4>
      </vt:variant>
      <vt:variant>
        <vt:i4>0</vt:i4>
      </vt:variant>
      <vt:variant>
        <vt:i4>5</vt:i4>
      </vt:variant>
      <vt:variant>
        <vt:lpwstr>https://www.sps.nhs.uk/medicines/sep-363856/</vt:lpwstr>
      </vt:variant>
      <vt:variant>
        <vt:lpwstr/>
      </vt:variant>
      <vt:variant>
        <vt:i4>131160</vt:i4>
      </vt:variant>
      <vt:variant>
        <vt:i4>216</vt:i4>
      </vt:variant>
      <vt:variant>
        <vt:i4>0</vt:i4>
      </vt:variant>
      <vt:variant>
        <vt:i4>5</vt:i4>
      </vt:variant>
      <vt:variant>
        <vt:lpwstr>https://www.sps.nhs.uk/medicines/padesvonil/</vt:lpwstr>
      </vt:variant>
      <vt:variant>
        <vt:lpwstr/>
      </vt:variant>
      <vt:variant>
        <vt:i4>4456520</vt:i4>
      </vt:variant>
      <vt:variant>
        <vt:i4>213</vt:i4>
      </vt:variant>
      <vt:variant>
        <vt:i4>0</vt:i4>
      </vt:variant>
      <vt:variant>
        <vt:i4>5</vt:i4>
      </vt:variant>
      <vt:variant>
        <vt:lpwstr>https://www.sps.nhs.uk/medicines/opiranserin/</vt:lpwstr>
      </vt:variant>
      <vt:variant>
        <vt:lpwstr/>
      </vt:variant>
      <vt:variant>
        <vt:i4>2555944</vt:i4>
      </vt:variant>
      <vt:variant>
        <vt:i4>210</vt:i4>
      </vt:variant>
      <vt:variant>
        <vt:i4>0</vt:i4>
      </vt:variant>
      <vt:variant>
        <vt:i4>5</vt:i4>
      </vt:variant>
      <vt:variant>
        <vt:lpwstr>https://www.sps.nhs.uk/medicines/mitapivat/</vt:lpwstr>
      </vt:variant>
      <vt:variant>
        <vt:lpwstr/>
      </vt:variant>
      <vt:variant>
        <vt:i4>393288</vt:i4>
      </vt:variant>
      <vt:variant>
        <vt:i4>207</vt:i4>
      </vt:variant>
      <vt:variant>
        <vt:i4>0</vt:i4>
      </vt:variant>
      <vt:variant>
        <vt:i4>5</vt:i4>
      </vt:variant>
      <vt:variant>
        <vt:lpwstr>https://www.sps.nhs.uk/medicines/linzagolix/</vt:lpwstr>
      </vt:variant>
      <vt:variant>
        <vt:lpwstr/>
      </vt:variant>
      <vt:variant>
        <vt:i4>3604520</vt:i4>
      </vt:variant>
      <vt:variant>
        <vt:i4>204</vt:i4>
      </vt:variant>
      <vt:variant>
        <vt:i4>0</vt:i4>
      </vt:variant>
      <vt:variant>
        <vt:i4>5</vt:i4>
      </vt:variant>
      <vt:variant>
        <vt:lpwstr>https://www.sps.nhs.uk/medicines/leriglitazone/</vt:lpwstr>
      </vt:variant>
      <vt:variant>
        <vt:lpwstr/>
      </vt:variant>
      <vt:variant>
        <vt:i4>7929889</vt:i4>
      </vt:variant>
      <vt:variant>
        <vt:i4>201</vt:i4>
      </vt:variant>
      <vt:variant>
        <vt:i4>0</vt:i4>
      </vt:variant>
      <vt:variant>
        <vt:i4>5</vt:i4>
      </vt:variant>
      <vt:variant>
        <vt:lpwstr>https://www.sps.nhs.uk/medicines/lebrikizumab/</vt:lpwstr>
      </vt:variant>
      <vt:variant>
        <vt:lpwstr/>
      </vt:variant>
      <vt:variant>
        <vt:i4>524381</vt:i4>
      </vt:variant>
      <vt:variant>
        <vt:i4>198</vt:i4>
      </vt:variant>
      <vt:variant>
        <vt:i4>0</vt:i4>
      </vt:variant>
      <vt:variant>
        <vt:i4>5</vt:i4>
      </vt:variant>
      <vt:variant>
        <vt:lpwstr>https://www.sps.nhs.uk/medicines/glatiramer/</vt:lpwstr>
      </vt:variant>
      <vt:variant>
        <vt:lpwstr/>
      </vt:variant>
      <vt:variant>
        <vt:i4>5832790</vt:i4>
      </vt:variant>
      <vt:variant>
        <vt:i4>195</vt:i4>
      </vt:variant>
      <vt:variant>
        <vt:i4>0</vt:i4>
      </vt:variant>
      <vt:variant>
        <vt:i4>5</vt:i4>
      </vt:variant>
      <vt:variant>
        <vt:lpwstr>https://www.sps.nhs.uk/medicines/fcr-001/</vt:lpwstr>
      </vt:variant>
      <vt:variant>
        <vt:lpwstr/>
      </vt:variant>
      <vt:variant>
        <vt:i4>3080232</vt:i4>
      </vt:variant>
      <vt:variant>
        <vt:i4>192</vt:i4>
      </vt:variant>
      <vt:variant>
        <vt:i4>0</vt:i4>
      </vt:variant>
      <vt:variant>
        <vt:i4>5</vt:i4>
      </vt:variant>
      <vt:variant>
        <vt:lpwstr>https://www.sps.nhs.uk/medicines/empagliflozin/</vt:lpwstr>
      </vt:variant>
      <vt:variant>
        <vt:lpwstr/>
      </vt:variant>
      <vt:variant>
        <vt:i4>2752551</vt:i4>
      </vt:variant>
      <vt:variant>
        <vt:i4>189</vt:i4>
      </vt:variant>
      <vt:variant>
        <vt:i4>0</vt:i4>
      </vt:variant>
      <vt:variant>
        <vt:i4>5</vt:i4>
      </vt:variant>
      <vt:variant>
        <vt:lpwstr>https://www.sps.nhs.uk/medicines/diazoxide/</vt:lpwstr>
      </vt:variant>
      <vt:variant>
        <vt:lpwstr/>
      </vt:variant>
      <vt:variant>
        <vt:i4>6815782</vt:i4>
      </vt:variant>
      <vt:variant>
        <vt:i4>186</vt:i4>
      </vt:variant>
      <vt:variant>
        <vt:i4>0</vt:i4>
      </vt:variant>
      <vt:variant>
        <vt:i4>5</vt:i4>
      </vt:variant>
      <vt:variant>
        <vt:lpwstr>https://www.sps.nhs.uk/medicines/dasiglucagon/</vt:lpwstr>
      </vt:variant>
      <vt:variant>
        <vt:lpwstr/>
      </vt:variant>
      <vt:variant>
        <vt:i4>4194380</vt:i4>
      </vt:variant>
      <vt:variant>
        <vt:i4>183</vt:i4>
      </vt:variant>
      <vt:variant>
        <vt:i4>0</vt:i4>
      </vt:variant>
      <vt:variant>
        <vt:i4>5</vt:i4>
      </vt:variant>
      <vt:variant>
        <vt:lpwstr>https://www.sps.nhs.uk/medicines/cyclobenzaprine/</vt:lpwstr>
      </vt:variant>
      <vt:variant>
        <vt:lpwstr/>
      </vt:variant>
      <vt:variant>
        <vt:i4>1179733</vt:i4>
      </vt:variant>
      <vt:variant>
        <vt:i4>180</vt:i4>
      </vt:variant>
      <vt:variant>
        <vt:i4>0</vt:i4>
      </vt:variant>
      <vt:variant>
        <vt:i4>5</vt:i4>
      </vt:variant>
      <vt:variant>
        <vt:lpwstr>https://www.sps.nhs.uk/medicines/bumetanide/</vt:lpwstr>
      </vt:variant>
      <vt:variant>
        <vt:lpwstr/>
      </vt:variant>
      <vt:variant>
        <vt:i4>1835099</vt:i4>
      </vt:variant>
      <vt:variant>
        <vt:i4>177</vt:i4>
      </vt:variant>
      <vt:variant>
        <vt:i4>0</vt:i4>
      </vt:variant>
      <vt:variant>
        <vt:i4>5</vt:i4>
      </vt:variant>
      <vt:variant>
        <vt:lpwstr>https://www.sps.nhs.uk/medicines/budesonide/</vt:lpwstr>
      </vt:variant>
      <vt:variant>
        <vt:lpwstr/>
      </vt:variant>
      <vt:variant>
        <vt:i4>1638427</vt:i4>
      </vt:variant>
      <vt:variant>
        <vt:i4>174</vt:i4>
      </vt:variant>
      <vt:variant>
        <vt:i4>0</vt:i4>
      </vt:variant>
      <vt:variant>
        <vt:i4>5</vt:i4>
      </vt:variant>
      <vt:variant>
        <vt:lpwstr>https://www.sps.nhs.uk/medicines/bardoxolone-methyl/</vt:lpwstr>
      </vt:variant>
      <vt:variant>
        <vt:lpwstr/>
      </vt:variant>
      <vt:variant>
        <vt:i4>5767195</vt:i4>
      </vt:variant>
      <vt:variant>
        <vt:i4>171</vt:i4>
      </vt:variant>
      <vt:variant>
        <vt:i4>0</vt:i4>
      </vt:variant>
      <vt:variant>
        <vt:i4>5</vt:i4>
      </vt:variant>
      <vt:variant>
        <vt:lpwstr>https://www.sps.nhs.uk/medicines/autologous-bm-derived-stem-cell-therapy/</vt:lpwstr>
      </vt:variant>
      <vt:variant>
        <vt:lpwstr/>
      </vt:variant>
      <vt:variant>
        <vt:i4>4587591</vt:i4>
      </vt:variant>
      <vt:variant>
        <vt:i4>168</vt:i4>
      </vt:variant>
      <vt:variant>
        <vt:i4>0</vt:i4>
      </vt:variant>
      <vt:variant>
        <vt:i4>5</vt:i4>
      </vt:variant>
      <vt:variant>
        <vt:lpwstr>https://www.sps.nhs.uk/medicines/at-gtx-501/</vt:lpwstr>
      </vt:variant>
      <vt:variant>
        <vt:lpwstr/>
      </vt:variant>
      <vt:variant>
        <vt:i4>7864359</vt:i4>
      </vt:variant>
      <vt:variant>
        <vt:i4>165</vt:i4>
      </vt:variant>
      <vt:variant>
        <vt:i4>0</vt:i4>
      </vt:variant>
      <vt:variant>
        <vt:i4>5</vt:i4>
      </vt:variant>
      <vt:variant>
        <vt:lpwstr>https://www.sps.nhs.uk/medicines/telapristone/</vt:lpwstr>
      </vt:variant>
      <vt:variant>
        <vt:lpwstr/>
      </vt:variant>
      <vt:variant>
        <vt:i4>7864359</vt:i4>
      </vt:variant>
      <vt:variant>
        <vt:i4>162</vt:i4>
      </vt:variant>
      <vt:variant>
        <vt:i4>0</vt:i4>
      </vt:variant>
      <vt:variant>
        <vt:i4>5</vt:i4>
      </vt:variant>
      <vt:variant>
        <vt:lpwstr>https://www.sps.nhs.uk/medicines/telapristone/</vt:lpwstr>
      </vt:variant>
      <vt:variant>
        <vt:lpwstr/>
      </vt:variant>
      <vt:variant>
        <vt:i4>1769490</vt:i4>
      </vt:variant>
      <vt:variant>
        <vt:i4>159</vt:i4>
      </vt:variant>
      <vt:variant>
        <vt:i4>0</vt:i4>
      </vt:variant>
      <vt:variant>
        <vt:i4>5</vt:i4>
      </vt:variant>
      <vt:variant>
        <vt:lpwstr>https://www.sps.nhs.uk/medicines/t-cell-replacement-therapy/</vt:lpwstr>
      </vt:variant>
      <vt:variant>
        <vt:lpwstr/>
      </vt:variant>
      <vt:variant>
        <vt:i4>1245262</vt:i4>
      </vt:variant>
      <vt:variant>
        <vt:i4>156</vt:i4>
      </vt:variant>
      <vt:variant>
        <vt:i4>0</vt:i4>
      </vt:variant>
      <vt:variant>
        <vt:i4>5</vt:i4>
      </vt:variant>
      <vt:variant>
        <vt:lpwstr>https://www.sps.nhs.uk/medicines/salmeterol/</vt:lpwstr>
      </vt:variant>
      <vt:variant>
        <vt:lpwstr/>
      </vt:variant>
      <vt:variant>
        <vt:i4>1966174</vt:i4>
      </vt:variant>
      <vt:variant>
        <vt:i4>153</vt:i4>
      </vt:variant>
      <vt:variant>
        <vt:i4>0</vt:i4>
      </vt:variant>
      <vt:variant>
        <vt:i4>5</vt:i4>
      </vt:variant>
      <vt:variant>
        <vt:lpwstr>https://www.sps.nhs.uk/medicines/rapastinel/</vt:lpwstr>
      </vt:variant>
      <vt:variant>
        <vt:lpwstr/>
      </vt:variant>
      <vt:variant>
        <vt:i4>3276927</vt:i4>
      </vt:variant>
      <vt:variant>
        <vt:i4>150</vt:i4>
      </vt:variant>
      <vt:variant>
        <vt:i4>0</vt:i4>
      </vt:variant>
      <vt:variant>
        <vt:i4>5</vt:i4>
      </vt:variant>
      <vt:variant>
        <vt:lpwstr>https://www.sps.nhs.uk/medicines/pegylated-recombinant-human-hyaluronidase/</vt:lpwstr>
      </vt:variant>
      <vt:variant>
        <vt:lpwstr/>
      </vt:variant>
      <vt:variant>
        <vt:i4>4849741</vt:i4>
      </vt:variant>
      <vt:variant>
        <vt:i4>147</vt:i4>
      </vt:variant>
      <vt:variant>
        <vt:i4>0</vt:i4>
      </vt:variant>
      <vt:variant>
        <vt:i4>5</vt:i4>
      </vt:variant>
      <vt:variant>
        <vt:lpwstr>https://www.sps.nhs.uk/medicines/nilvadipine/</vt:lpwstr>
      </vt:variant>
      <vt:variant>
        <vt:lpwstr/>
      </vt:variant>
      <vt:variant>
        <vt:i4>7798828</vt:i4>
      </vt:variant>
      <vt:variant>
        <vt:i4>144</vt:i4>
      </vt:variant>
      <vt:variant>
        <vt:i4>0</vt:i4>
      </vt:variant>
      <vt:variant>
        <vt:i4>5</vt:i4>
      </vt:variant>
      <vt:variant>
        <vt:lpwstr>https://www.sps.nhs.uk/medicines/naloxone/</vt:lpwstr>
      </vt:variant>
      <vt:variant>
        <vt:lpwstr/>
      </vt:variant>
      <vt:variant>
        <vt:i4>1441887</vt:i4>
      </vt:variant>
      <vt:variant>
        <vt:i4>141</vt:i4>
      </vt:variant>
      <vt:variant>
        <vt:i4>0</vt:i4>
      </vt:variant>
      <vt:variant>
        <vt:i4>5</vt:i4>
      </vt:variant>
      <vt:variant>
        <vt:lpwstr>https://www.sps.nhs.uk/medicines/macitentan/</vt:lpwstr>
      </vt:variant>
      <vt:variant>
        <vt:lpwstr/>
      </vt:variant>
      <vt:variant>
        <vt:i4>6225993</vt:i4>
      </vt:variant>
      <vt:variant>
        <vt:i4>138</vt:i4>
      </vt:variant>
      <vt:variant>
        <vt:i4>0</vt:i4>
      </vt:variant>
      <vt:variant>
        <vt:i4>5</vt:i4>
      </vt:variant>
      <vt:variant>
        <vt:lpwstr>https://www.sps.nhs.uk/medicines/hydroxyprogesterone/</vt:lpwstr>
      </vt:variant>
      <vt:variant>
        <vt:lpwstr/>
      </vt:variant>
      <vt:variant>
        <vt:i4>2687026</vt:i4>
      </vt:variant>
      <vt:variant>
        <vt:i4>135</vt:i4>
      </vt:variant>
      <vt:variant>
        <vt:i4>0</vt:i4>
      </vt:variant>
      <vt:variant>
        <vt:i4>5</vt:i4>
      </vt:variant>
      <vt:variant>
        <vt:lpwstr>https://www.sps.nhs.uk/medicines/ciprofloxacin/</vt:lpwstr>
      </vt:variant>
      <vt:variant>
        <vt:lpwstr/>
      </vt:variant>
      <vt:variant>
        <vt:i4>196702</vt:i4>
      </vt:variant>
      <vt:variant>
        <vt:i4>132</vt:i4>
      </vt:variant>
      <vt:variant>
        <vt:i4>0</vt:i4>
      </vt:variant>
      <vt:variant>
        <vt:i4>5</vt:i4>
      </vt:variant>
      <vt:variant>
        <vt:lpwstr>https://www.sps.nhs.uk/medicines/calcitonin/</vt:lpwstr>
      </vt:variant>
      <vt:variant>
        <vt:lpwstr/>
      </vt:variant>
      <vt:variant>
        <vt:i4>7667749</vt:i4>
      </vt:variant>
      <vt:variant>
        <vt:i4>129</vt:i4>
      </vt:variant>
      <vt:variant>
        <vt:i4>0</vt:i4>
      </vt:variant>
      <vt:variant>
        <vt:i4>5</vt:i4>
      </vt:variant>
      <vt:variant>
        <vt:lpwstr>https://www.sps.nhs.uk/medicines/c1-esterase-inhibitor/</vt:lpwstr>
      </vt:variant>
      <vt:variant>
        <vt:lpwstr/>
      </vt:variant>
      <vt:variant>
        <vt:i4>2490478</vt:i4>
      </vt:variant>
      <vt:variant>
        <vt:i4>126</vt:i4>
      </vt:variant>
      <vt:variant>
        <vt:i4>0</vt:i4>
      </vt:variant>
      <vt:variant>
        <vt:i4>5</vt:i4>
      </vt:variant>
      <vt:variant>
        <vt:lpwstr>https://www.sps.nhs.uk/medicines/buprenorphine-samidorphan/</vt:lpwstr>
      </vt:variant>
      <vt:variant>
        <vt:lpwstr/>
      </vt:variant>
      <vt:variant>
        <vt:i4>2621493</vt:i4>
      </vt:variant>
      <vt:variant>
        <vt:i4>123</vt:i4>
      </vt:variant>
      <vt:variant>
        <vt:i4>0</vt:i4>
      </vt:variant>
      <vt:variant>
        <vt:i4>5</vt:i4>
      </vt:variant>
      <vt:variant>
        <vt:lpwstr>https://www.sps.nhs.uk/medicines/buprenorphine/</vt:lpwstr>
      </vt:variant>
      <vt:variant>
        <vt:lpwstr/>
      </vt:variant>
      <vt:variant>
        <vt:i4>3538984</vt:i4>
      </vt:variant>
      <vt:variant>
        <vt:i4>120</vt:i4>
      </vt:variant>
      <vt:variant>
        <vt:i4>0</vt:i4>
      </vt:variant>
      <vt:variant>
        <vt:i4>5</vt:i4>
      </vt:variant>
      <vt:variant>
        <vt:lpwstr>https://www.sps.nhs.uk/medicines/botulinum-a-toxin/</vt:lpwstr>
      </vt:variant>
      <vt:variant>
        <vt:lpwstr/>
      </vt:variant>
      <vt:variant>
        <vt:i4>458843</vt:i4>
      </vt:variant>
      <vt:variant>
        <vt:i4>117</vt:i4>
      </vt:variant>
      <vt:variant>
        <vt:i4>0</vt:i4>
      </vt:variant>
      <vt:variant>
        <vt:i4>5</vt:i4>
      </vt:variant>
      <vt:variant>
        <vt:lpwstr>https://www.sps.nhs.uk/medicines/biotin/</vt:lpwstr>
      </vt:variant>
      <vt:variant>
        <vt:lpwstr/>
      </vt:variant>
      <vt:variant>
        <vt:i4>3145761</vt:i4>
      </vt:variant>
      <vt:variant>
        <vt:i4>114</vt:i4>
      </vt:variant>
      <vt:variant>
        <vt:i4>0</vt:i4>
      </vt:variant>
      <vt:variant>
        <vt:i4>5</vt:i4>
      </vt:variant>
      <vt:variant>
        <vt:lpwstr>https://www.sps.nhs.uk/medicines/arbaclofen-placarbil/</vt:lpwstr>
      </vt:variant>
      <vt:variant>
        <vt:lpwstr/>
      </vt:variant>
      <vt:variant>
        <vt:i4>1572889</vt:i4>
      </vt:variant>
      <vt:variant>
        <vt:i4>111</vt:i4>
      </vt:variant>
      <vt:variant>
        <vt:i4>0</vt:i4>
      </vt:variant>
      <vt:variant>
        <vt:i4>5</vt:i4>
      </vt:variant>
      <vt:variant>
        <vt:lpwstr>https://www.sps.nhs.uk/medicines/valoctocogene-roxaparvovec/</vt:lpwstr>
      </vt:variant>
      <vt:variant>
        <vt:lpwstr/>
      </vt:variant>
      <vt:variant>
        <vt:i4>2031697</vt:i4>
      </vt:variant>
      <vt:variant>
        <vt:i4>108</vt:i4>
      </vt:variant>
      <vt:variant>
        <vt:i4>0</vt:i4>
      </vt:variant>
      <vt:variant>
        <vt:i4>5</vt:i4>
      </vt:variant>
      <vt:variant>
        <vt:lpwstr>https://www.sps.nhs.uk/medicines/meningococcal-groups-a-c-w135-y-vaccine/</vt:lpwstr>
      </vt:variant>
      <vt:variant>
        <vt:lpwstr/>
      </vt:variant>
      <vt:variant>
        <vt:i4>5374020</vt:i4>
      </vt:variant>
      <vt:variant>
        <vt:i4>105</vt:i4>
      </vt:variant>
      <vt:variant>
        <vt:i4>0</vt:i4>
      </vt:variant>
      <vt:variant>
        <vt:i4>5</vt:i4>
      </vt:variant>
      <vt:variant>
        <vt:lpwstr>https://www.sps.nhs.uk/medicines/encorafenib/</vt:lpwstr>
      </vt:variant>
      <vt:variant>
        <vt:lpwstr/>
      </vt:variant>
      <vt:variant>
        <vt:i4>7209001</vt:i4>
      </vt:variant>
      <vt:variant>
        <vt:i4>102</vt:i4>
      </vt:variant>
      <vt:variant>
        <vt:i4>0</vt:i4>
      </vt:variant>
      <vt:variant>
        <vt:i4>5</vt:i4>
      </vt:variant>
      <vt:variant>
        <vt:lpwstr>https://www.sps.nhs.uk/medicines/elexacaftor-ivacaftor-tezacaftor/</vt:lpwstr>
      </vt:variant>
      <vt:variant>
        <vt:lpwstr/>
      </vt:variant>
      <vt:variant>
        <vt:i4>4849729</vt:i4>
      </vt:variant>
      <vt:variant>
        <vt:i4>99</vt:i4>
      </vt:variant>
      <vt:variant>
        <vt:i4>0</vt:i4>
      </vt:variant>
      <vt:variant>
        <vt:i4>5</vt:i4>
      </vt:variant>
      <vt:variant>
        <vt:lpwstr>https://www.sps.nhs.uk/medicines/bulevirtide/</vt:lpwstr>
      </vt:variant>
      <vt:variant>
        <vt:lpwstr/>
      </vt:variant>
      <vt:variant>
        <vt:i4>5570637</vt:i4>
      </vt:variant>
      <vt:variant>
        <vt:i4>96</vt:i4>
      </vt:variant>
      <vt:variant>
        <vt:i4>0</vt:i4>
      </vt:variant>
      <vt:variant>
        <vt:i4>5</vt:i4>
      </vt:variant>
      <vt:variant>
        <vt:lpwstr>https://www.sps.nhs.uk/medicines/binimetinib/</vt:lpwstr>
      </vt:variant>
      <vt:variant>
        <vt:lpwstr/>
      </vt:variant>
      <vt:variant>
        <vt:i4>4128817</vt:i4>
      </vt:variant>
      <vt:variant>
        <vt:i4>93</vt:i4>
      </vt:variant>
      <vt:variant>
        <vt:i4>0</vt:i4>
      </vt:variant>
      <vt:variant>
        <vt:i4>5</vt:i4>
      </vt:variant>
      <vt:variant>
        <vt:lpwstr>https://www.sps.nhs.uk/medicines/ad26-ebov-vaccine/</vt:lpwstr>
      </vt:variant>
      <vt:variant>
        <vt:lpwstr/>
      </vt:variant>
      <vt:variant>
        <vt:i4>2555952</vt:i4>
      </vt:variant>
      <vt:variant>
        <vt:i4>90</vt:i4>
      </vt:variant>
      <vt:variant>
        <vt:i4>0</vt:i4>
      </vt:variant>
      <vt:variant>
        <vt:i4>5</vt:i4>
      </vt:variant>
      <vt:variant>
        <vt:lpwstr>https://www.sps.nhs.uk/medicines/acalabrutinib/</vt:lpwstr>
      </vt:variant>
      <vt:variant>
        <vt:lpwstr/>
      </vt:variant>
      <vt:variant>
        <vt:i4>2818164</vt:i4>
      </vt:variant>
      <vt:variant>
        <vt:i4>87</vt:i4>
      </vt:variant>
      <vt:variant>
        <vt:i4>0</vt:i4>
      </vt:variant>
      <vt:variant>
        <vt:i4>5</vt:i4>
      </vt:variant>
      <vt:variant>
        <vt:lpwstr>https://www.sps.nhs.uk/medicines/trastuzumab-emtansine/</vt:lpwstr>
      </vt:variant>
      <vt:variant>
        <vt:lpwstr/>
      </vt:variant>
      <vt:variant>
        <vt:i4>7471146</vt:i4>
      </vt:variant>
      <vt:variant>
        <vt:i4>84</vt:i4>
      </vt:variant>
      <vt:variant>
        <vt:i4>0</vt:i4>
      </vt:variant>
      <vt:variant>
        <vt:i4>5</vt:i4>
      </vt:variant>
      <vt:variant>
        <vt:lpwstr>https://www.sps.nhs.uk/medicines/solriamfetol/</vt:lpwstr>
      </vt:variant>
      <vt:variant>
        <vt:lpwstr/>
      </vt:variant>
      <vt:variant>
        <vt:i4>2621480</vt:i4>
      </vt:variant>
      <vt:variant>
        <vt:i4>81</vt:i4>
      </vt:variant>
      <vt:variant>
        <vt:i4>0</vt:i4>
      </vt:variant>
      <vt:variant>
        <vt:i4>5</vt:i4>
      </vt:variant>
      <vt:variant>
        <vt:lpwstr>https://www.sps.nhs.uk/medicines/siponimod/</vt:lpwstr>
      </vt:variant>
      <vt:variant>
        <vt:lpwstr/>
      </vt:variant>
      <vt:variant>
        <vt:i4>5308487</vt:i4>
      </vt:variant>
      <vt:variant>
        <vt:i4>78</vt:i4>
      </vt:variant>
      <vt:variant>
        <vt:i4>0</vt:i4>
      </vt:variant>
      <vt:variant>
        <vt:i4>5</vt:i4>
      </vt:variant>
      <vt:variant>
        <vt:lpwstr>https://www.sps.nhs.uk/medicines/polatuzumab/</vt:lpwstr>
      </vt:variant>
      <vt:variant>
        <vt:lpwstr/>
      </vt:variant>
      <vt:variant>
        <vt:i4>6946876</vt:i4>
      </vt:variant>
      <vt:variant>
        <vt:i4>75</vt:i4>
      </vt:variant>
      <vt:variant>
        <vt:i4>0</vt:i4>
      </vt:variant>
      <vt:variant>
        <vt:i4>5</vt:i4>
      </vt:variant>
      <vt:variant>
        <vt:lpwstr>https://www.sps.nhs.uk/medicines/osilodrostat/</vt:lpwstr>
      </vt:variant>
      <vt:variant>
        <vt:lpwstr/>
      </vt:variant>
      <vt:variant>
        <vt:i4>6291494</vt:i4>
      </vt:variant>
      <vt:variant>
        <vt:i4>72</vt:i4>
      </vt:variant>
      <vt:variant>
        <vt:i4>0</vt:i4>
      </vt:variant>
      <vt:variant>
        <vt:i4>5</vt:i4>
      </vt:variant>
      <vt:variant>
        <vt:lpwstr>https://www.sps.nhs.uk/medicines/lenalidomide/</vt:lpwstr>
      </vt:variant>
      <vt:variant>
        <vt:lpwstr/>
      </vt:variant>
      <vt:variant>
        <vt:i4>7733280</vt:i4>
      </vt:variant>
      <vt:variant>
        <vt:i4>69</vt:i4>
      </vt:variant>
      <vt:variant>
        <vt:i4>0</vt:i4>
      </vt:variant>
      <vt:variant>
        <vt:i4>5</vt:i4>
      </vt:variant>
      <vt:variant>
        <vt:lpwstr>https://www.sps.nhs.uk/medicines/fostamatinib-disodium/</vt:lpwstr>
      </vt:variant>
      <vt:variant>
        <vt:lpwstr/>
      </vt:variant>
      <vt:variant>
        <vt:i4>3342373</vt:i4>
      </vt:variant>
      <vt:variant>
        <vt:i4>66</vt:i4>
      </vt:variant>
      <vt:variant>
        <vt:i4>0</vt:i4>
      </vt:variant>
      <vt:variant>
        <vt:i4>5</vt:i4>
      </vt:variant>
      <vt:variant>
        <vt:lpwstr>https://www.sps.nhs.uk/medicines/trientine/</vt:lpwstr>
      </vt:variant>
      <vt:variant>
        <vt:lpwstr/>
      </vt:variant>
      <vt:variant>
        <vt:i4>1900625</vt:i4>
      </vt:variant>
      <vt:variant>
        <vt:i4>63</vt:i4>
      </vt:variant>
      <vt:variant>
        <vt:i4>0</vt:i4>
      </vt:variant>
      <vt:variant>
        <vt:i4>5</vt:i4>
      </vt:variant>
      <vt:variant>
        <vt:lpwstr>https://www.sps.nhs.uk/medicines/netarsudil-mesilate/</vt:lpwstr>
      </vt:variant>
      <vt:variant>
        <vt:lpwstr/>
      </vt:variant>
      <vt:variant>
        <vt:i4>7143468</vt:i4>
      </vt:variant>
      <vt:variant>
        <vt:i4>60</vt:i4>
      </vt:variant>
      <vt:variant>
        <vt:i4>0</vt:i4>
      </vt:variant>
      <vt:variant>
        <vt:i4>5</vt:i4>
      </vt:variant>
      <vt:variant>
        <vt:lpwstr>https://www.sps.nhs.uk/medicines/levodopa/</vt:lpwstr>
      </vt:variant>
      <vt:variant>
        <vt:lpwstr/>
      </vt:variant>
      <vt:variant>
        <vt:i4>852061</vt:i4>
      </vt:variant>
      <vt:variant>
        <vt:i4>57</vt:i4>
      </vt:variant>
      <vt:variant>
        <vt:i4>0</vt:i4>
      </vt:variant>
      <vt:variant>
        <vt:i4>5</vt:i4>
      </vt:variant>
      <vt:variant>
        <vt:lpwstr>https://www.sps.nhs.uk/medicines/infliximab/</vt:lpwstr>
      </vt:variant>
      <vt:variant>
        <vt:lpwstr/>
      </vt:variant>
      <vt:variant>
        <vt:i4>4063335</vt:i4>
      </vt:variant>
      <vt:variant>
        <vt:i4>54</vt:i4>
      </vt:variant>
      <vt:variant>
        <vt:i4>0</vt:i4>
      </vt:variant>
      <vt:variant>
        <vt:i4>5</vt:i4>
      </vt:variant>
      <vt:variant>
        <vt:lpwstr>https://www.sps.nhs.uk/medicines/ebola-vaccine/</vt:lpwstr>
      </vt:variant>
      <vt:variant>
        <vt:lpwstr/>
      </vt:variant>
      <vt:variant>
        <vt:i4>2621493</vt:i4>
      </vt:variant>
      <vt:variant>
        <vt:i4>51</vt:i4>
      </vt:variant>
      <vt:variant>
        <vt:i4>0</vt:i4>
      </vt:variant>
      <vt:variant>
        <vt:i4>5</vt:i4>
      </vt:variant>
      <vt:variant>
        <vt:lpwstr>https://www.sps.nhs.uk/medicines/buprenorphine/</vt:lpwstr>
      </vt:variant>
      <vt:variant>
        <vt:lpwstr/>
      </vt:variant>
      <vt:variant>
        <vt:i4>1179726</vt:i4>
      </vt:variant>
      <vt:variant>
        <vt:i4>48</vt:i4>
      </vt:variant>
      <vt:variant>
        <vt:i4>0</vt:i4>
      </vt:variant>
      <vt:variant>
        <vt:i4>5</vt:i4>
      </vt:variant>
      <vt:variant>
        <vt:lpwstr>https://www.sps.nhs.uk/medicines/arginine-lysine/</vt:lpwstr>
      </vt:variant>
      <vt:variant>
        <vt:lpwstr/>
      </vt:variant>
      <vt:variant>
        <vt:i4>7798824</vt:i4>
      </vt:variant>
      <vt:variant>
        <vt:i4>45</vt:i4>
      </vt:variant>
      <vt:variant>
        <vt:i4>0</vt:i4>
      </vt:variant>
      <vt:variant>
        <vt:i4>5</vt:i4>
      </vt:variant>
      <vt:variant>
        <vt:lpwstr>https://www.sps.nhs.uk/medicines/teriparatide/</vt:lpwstr>
      </vt:variant>
      <vt:variant>
        <vt:lpwstr/>
      </vt:variant>
      <vt:variant>
        <vt:i4>5767235</vt:i4>
      </vt:variant>
      <vt:variant>
        <vt:i4>42</vt:i4>
      </vt:variant>
      <vt:variant>
        <vt:i4>0</vt:i4>
      </vt:variant>
      <vt:variant>
        <vt:i4>5</vt:i4>
      </vt:variant>
      <vt:variant>
        <vt:lpwstr>https://www.sps.nhs.uk/medicines/paracetamol/</vt:lpwstr>
      </vt:variant>
      <vt:variant>
        <vt:lpwstr/>
      </vt:variant>
      <vt:variant>
        <vt:i4>2162736</vt:i4>
      </vt:variant>
      <vt:variant>
        <vt:i4>39</vt:i4>
      </vt:variant>
      <vt:variant>
        <vt:i4>0</vt:i4>
      </vt:variant>
      <vt:variant>
        <vt:i4>5</vt:i4>
      </vt:variant>
      <vt:variant>
        <vt:lpwstr>https://www.sps.nhs.uk/articles/ukmi-product-safety-assessments-2/</vt:lpwstr>
      </vt:variant>
      <vt:variant>
        <vt:lpwstr/>
      </vt:variant>
      <vt:variant>
        <vt:i4>5767196</vt:i4>
      </vt:variant>
      <vt:variant>
        <vt:i4>36</vt:i4>
      </vt:variant>
      <vt:variant>
        <vt:i4>0</vt:i4>
      </vt:variant>
      <vt:variant>
        <vt:i4>5</vt:i4>
      </vt:variant>
      <vt:variant>
        <vt:lpwstr>https://www.sps.nhs.uk/articles/prioritising-new-products-for-a-ukmi-product-safety-assessment-a-resource-for-ukmi-patient-safety-working-group/</vt:lpwstr>
      </vt:variant>
      <vt:variant>
        <vt:lpwstr/>
      </vt:variant>
      <vt:variant>
        <vt:i4>3211304</vt:i4>
      </vt:variant>
      <vt:variant>
        <vt:i4>33</vt:i4>
      </vt:variant>
      <vt:variant>
        <vt:i4>0</vt:i4>
      </vt:variant>
      <vt:variant>
        <vt:i4>5</vt:i4>
      </vt:variant>
      <vt:variant>
        <vt:lpwstr>https://www.sps.nhs.uk/medicines/zanamivir/</vt:lpwstr>
      </vt:variant>
      <vt:variant>
        <vt:lpwstr/>
      </vt:variant>
      <vt:variant>
        <vt:i4>5111887</vt:i4>
      </vt:variant>
      <vt:variant>
        <vt:i4>30</vt:i4>
      </vt:variant>
      <vt:variant>
        <vt:i4>0</vt:i4>
      </vt:variant>
      <vt:variant>
        <vt:i4>5</vt:i4>
      </vt:variant>
      <vt:variant>
        <vt:lpwstr>https://www.sps.nhs.uk/medicines/talazoparib/</vt:lpwstr>
      </vt:variant>
      <vt:variant>
        <vt:lpwstr/>
      </vt:variant>
      <vt:variant>
        <vt:i4>4653149</vt:i4>
      </vt:variant>
      <vt:variant>
        <vt:i4>27</vt:i4>
      </vt:variant>
      <vt:variant>
        <vt:i4>0</vt:i4>
      </vt:variant>
      <vt:variant>
        <vt:i4>5</vt:i4>
      </vt:variant>
      <vt:variant>
        <vt:lpwstr>https://www.sps.nhs.uk/medicines/ranibizumab/</vt:lpwstr>
      </vt:variant>
      <vt:variant>
        <vt:lpwstr/>
      </vt:variant>
      <vt:variant>
        <vt:i4>3801149</vt:i4>
      </vt:variant>
      <vt:variant>
        <vt:i4>24</vt:i4>
      </vt:variant>
      <vt:variant>
        <vt:i4>0</vt:i4>
      </vt:variant>
      <vt:variant>
        <vt:i4>5</vt:i4>
      </vt:variant>
      <vt:variant>
        <vt:lpwstr>https://www.sps.nhs.uk/medicines/pembrolizumab/</vt:lpwstr>
      </vt:variant>
      <vt:variant>
        <vt:lpwstr/>
      </vt:variant>
      <vt:variant>
        <vt:i4>7602210</vt:i4>
      </vt:variant>
      <vt:variant>
        <vt:i4>21</vt:i4>
      </vt:variant>
      <vt:variant>
        <vt:i4>0</vt:i4>
      </vt:variant>
      <vt:variant>
        <vt:i4>5</vt:i4>
      </vt:variant>
      <vt:variant>
        <vt:lpwstr>https://www.sps.nhs.uk/medicines/nicotine/</vt:lpwstr>
      </vt:variant>
      <vt:variant>
        <vt:lpwstr/>
      </vt:variant>
      <vt:variant>
        <vt:i4>4063329</vt:i4>
      </vt:variant>
      <vt:variant>
        <vt:i4>18</vt:i4>
      </vt:variant>
      <vt:variant>
        <vt:i4>0</vt:i4>
      </vt:variant>
      <vt:variant>
        <vt:i4>5</vt:i4>
      </vt:variant>
      <vt:variant>
        <vt:lpwstr>https://www.sps.nhs.uk/medicines/meropenem-vaborbactam/</vt:lpwstr>
      </vt:variant>
      <vt:variant>
        <vt:lpwstr/>
      </vt:variant>
      <vt:variant>
        <vt:i4>4980828</vt:i4>
      </vt:variant>
      <vt:variant>
        <vt:i4>15</vt:i4>
      </vt:variant>
      <vt:variant>
        <vt:i4>0</vt:i4>
      </vt:variant>
      <vt:variant>
        <vt:i4>5</vt:i4>
      </vt:variant>
      <vt:variant>
        <vt:lpwstr>https://www.sps.nhs.uk/medicines/liraglutide/</vt:lpwstr>
      </vt:variant>
      <vt:variant>
        <vt:lpwstr/>
      </vt:variant>
      <vt:variant>
        <vt:i4>6553663</vt:i4>
      </vt:variant>
      <vt:variant>
        <vt:i4>12</vt:i4>
      </vt:variant>
      <vt:variant>
        <vt:i4>0</vt:i4>
      </vt:variant>
      <vt:variant>
        <vt:i4>5</vt:i4>
      </vt:variant>
      <vt:variant>
        <vt:lpwstr>https://www.sps.nhs.uk/medicines/gilteritinib/</vt:lpwstr>
      </vt:variant>
      <vt:variant>
        <vt:lpwstr/>
      </vt:variant>
      <vt:variant>
        <vt:i4>4980809</vt:i4>
      </vt:variant>
      <vt:variant>
        <vt:i4>9</vt:i4>
      </vt:variant>
      <vt:variant>
        <vt:i4>0</vt:i4>
      </vt:variant>
      <vt:variant>
        <vt:i4>5</vt:i4>
      </vt:variant>
      <vt:variant>
        <vt:lpwstr>https://www.sps.nhs.uk/medicines/daratumumab/</vt:lpwstr>
      </vt:variant>
      <vt:variant>
        <vt:lpwstr/>
      </vt:variant>
      <vt:variant>
        <vt:i4>2883621</vt:i4>
      </vt:variant>
      <vt:variant>
        <vt:i4>6</vt:i4>
      </vt:variant>
      <vt:variant>
        <vt:i4>0</vt:i4>
      </vt:variant>
      <vt:variant>
        <vt:i4>5</vt:i4>
      </vt:variant>
      <vt:variant>
        <vt:lpwstr>https://www.sps.nhs.uk/medicines/beclometasone/</vt:lpwstr>
      </vt:variant>
      <vt:variant>
        <vt:lpwstr/>
      </vt:variant>
      <vt:variant>
        <vt:i4>589864</vt:i4>
      </vt:variant>
      <vt:variant>
        <vt:i4>3</vt:i4>
      </vt:variant>
      <vt:variant>
        <vt:i4>0</vt:i4>
      </vt:variant>
      <vt:variant>
        <vt:i4>5</vt:i4>
      </vt:variant>
      <vt:variant>
        <vt:lpwstr>mailto:nwmedinfo@nhs.net?subject=New%20Medicines%20Newsletter</vt:lpwstr>
      </vt:variant>
      <vt:variant>
        <vt:lpwstr/>
      </vt:variant>
      <vt:variant>
        <vt:i4>7077923</vt:i4>
      </vt:variant>
      <vt:variant>
        <vt:i4>0</vt:i4>
      </vt:variant>
      <vt:variant>
        <vt:i4>0</vt:i4>
      </vt:variant>
      <vt:variant>
        <vt:i4>5</vt:i4>
      </vt:variant>
      <vt:variant>
        <vt:lpwstr>http://www.sps.nhs.uk/</vt:lpwstr>
      </vt:variant>
      <vt:variant>
        <vt:lpwstr/>
      </vt:variant>
      <vt:variant>
        <vt:i4>589864</vt:i4>
      </vt:variant>
      <vt:variant>
        <vt:i4>18</vt:i4>
      </vt:variant>
      <vt:variant>
        <vt:i4>0</vt:i4>
      </vt:variant>
      <vt:variant>
        <vt:i4>5</vt:i4>
      </vt:variant>
      <vt:variant>
        <vt:lpwstr>mailto:nwmedinfo@nhs.net?subject=New%20Medicines%20Newsletter</vt:lpwstr>
      </vt:variant>
      <vt:variant>
        <vt:lpwstr/>
      </vt:variant>
      <vt:variant>
        <vt:i4>7929901</vt:i4>
      </vt:variant>
      <vt:variant>
        <vt:i4>15</vt:i4>
      </vt:variant>
      <vt:variant>
        <vt:i4>0</vt:i4>
      </vt:variant>
      <vt:variant>
        <vt:i4>5</vt:i4>
      </vt:variant>
      <vt:variant>
        <vt:lpwstr>https://www.sps.nhs.uk/wp-login.php?action=register</vt:lpwstr>
      </vt:variant>
      <vt:variant>
        <vt:lpwstr/>
      </vt:variant>
      <vt:variant>
        <vt:i4>7077923</vt:i4>
      </vt:variant>
      <vt:variant>
        <vt:i4>12</vt:i4>
      </vt:variant>
      <vt:variant>
        <vt:i4>0</vt:i4>
      </vt:variant>
      <vt:variant>
        <vt:i4>5</vt:i4>
      </vt:variant>
      <vt:variant>
        <vt:lpwstr>http://www.sps.nhs.uk/</vt:lpwstr>
      </vt:variant>
      <vt:variant>
        <vt:lpwstr/>
      </vt:variant>
      <vt:variant>
        <vt:i4>3211377</vt:i4>
      </vt:variant>
      <vt:variant>
        <vt:i4>9</vt:i4>
      </vt:variant>
      <vt:variant>
        <vt:i4>0</vt:i4>
      </vt:variant>
      <vt:variant>
        <vt:i4>5</vt:i4>
      </vt:variant>
      <vt:variant>
        <vt:lpwstr>http://www.ukmi.nhs.uk/ndo</vt:lpwstr>
      </vt:variant>
      <vt:variant>
        <vt:lpwstr/>
      </vt:variant>
      <vt:variant>
        <vt:i4>1638407</vt:i4>
      </vt:variant>
      <vt:variant>
        <vt:i4>6</vt:i4>
      </vt:variant>
      <vt:variant>
        <vt:i4>0</vt:i4>
      </vt:variant>
      <vt:variant>
        <vt:i4>5</vt:i4>
      </vt:variant>
      <vt:variant>
        <vt:lpwstr>https://www.sps.nhs.uk/prescribing-outlook-2019/</vt:lpwstr>
      </vt:variant>
      <vt:variant>
        <vt:lpwstr/>
      </vt:variant>
      <vt:variant>
        <vt:i4>7405691</vt:i4>
      </vt:variant>
      <vt:variant>
        <vt:i4>3</vt:i4>
      </vt:variant>
      <vt:variant>
        <vt:i4>0</vt:i4>
      </vt:variant>
      <vt:variant>
        <vt:i4>5</vt:i4>
      </vt:variant>
      <vt:variant>
        <vt:lpwstr>https://www.sps.nhs.uk/category/new-medicines/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NDO home | Contact | Register for NDO access</dc:title>
  <dc:creator>McEntee Joanne (RQ6) RLBUHT</dc:creator>
  <cp:lastModifiedBy>Joanne McEntee</cp:lastModifiedBy>
  <cp:revision>96</cp:revision>
  <cp:lastPrinted>2024-11-04T15:16:00Z</cp:lastPrinted>
  <dcterms:created xsi:type="dcterms:W3CDTF">2024-10-14T16:28:00Z</dcterms:created>
  <dcterms:modified xsi:type="dcterms:W3CDTF">2024-11-07T07:50:00Z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