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0B4C"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390FE1" w14:paraId="57E120F3" w14:textId="77777777" w:rsidTr="005347B6">
        <w:tc>
          <w:tcPr>
            <w:tcW w:w="5000" w:type="pct"/>
            <w:shd w:val="clear" w:color="auto" w:fill="auto"/>
          </w:tcPr>
          <w:p w14:paraId="675C381A"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61B31616"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2E632256" w14:textId="77777777" w:rsidR="007A1448" w:rsidRPr="00A61604" w:rsidRDefault="000D7528" w:rsidP="0044276D">
      <w:pPr>
        <w:spacing w:before="240" w:after="240"/>
        <w:jc w:val="center"/>
        <w:rPr>
          <w:rFonts w:ascii="Arial" w:hAnsi="Arial"/>
          <w:b/>
          <w:sz w:val="36"/>
          <w:szCs w:val="36"/>
        </w:rPr>
      </w:pPr>
      <w:r w:rsidRPr="005B2595">
        <w:rPr>
          <w:rFonts w:ascii="Arial" w:hAnsi="Arial"/>
          <w:b/>
          <w:bCs/>
          <w:kern w:val="28"/>
          <w:sz w:val="40"/>
          <w:szCs w:val="32"/>
        </w:rPr>
        <w:t xml:space="preserve">Supply of </w:t>
      </w:r>
      <w:r w:rsidR="006735EC" w:rsidRPr="005B2595">
        <w:rPr>
          <w:rFonts w:ascii="Arial" w:hAnsi="Arial"/>
          <w:b/>
          <w:bCs/>
          <w:kern w:val="28"/>
          <w:sz w:val="40"/>
          <w:szCs w:val="32"/>
        </w:rPr>
        <w:t>folic acid 5mg</w:t>
      </w:r>
      <w:r w:rsidR="00557607" w:rsidRPr="005B2595">
        <w:rPr>
          <w:rFonts w:ascii="Arial" w:hAnsi="Arial"/>
          <w:b/>
          <w:bCs/>
          <w:kern w:val="28"/>
          <w:sz w:val="40"/>
          <w:szCs w:val="32"/>
        </w:rPr>
        <w:t xml:space="preserve"> tablets</w:t>
      </w:r>
      <w:r w:rsidR="0069351C" w:rsidRPr="005B2595">
        <w:rPr>
          <w:rFonts w:ascii="Arial" w:hAnsi="Arial"/>
          <w:b/>
          <w:bCs/>
          <w:kern w:val="28"/>
          <w:sz w:val="40"/>
          <w:szCs w:val="32"/>
        </w:rPr>
        <w:t xml:space="preserve"> </w:t>
      </w:r>
      <w:r w:rsidR="007377BA" w:rsidRPr="005B2595">
        <w:rPr>
          <w:rFonts w:ascii="Arial" w:hAnsi="Arial"/>
          <w:b/>
          <w:bCs/>
          <w:kern w:val="28"/>
          <w:sz w:val="40"/>
          <w:szCs w:val="32"/>
        </w:rPr>
        <w:t xml:space="preserve">to reduce the risk of neural tube defect </w:t>
      </w:r>
      <w:r w:rsidR="009E09C1" w:rsidRPr="005B2595">
        <w:rPr>
          <w:rFonts w:ascii="Arial" w:hAnsi="Arial"/>
          <w:b/>
          <w:bCs/>
          <w:kern w:val="28"/>
          <w:sz w:val="40"/>
          <w:szCs w:val="32"/>
        </w:rPr>
        <w:t>or to</w:t>
      </w:r>
      <w:r w:rsidR="007377BA" w:rsidRPr="005B2595">
        <w:rPr>
          <w:rFonts w:ascii="Arial" w:hAnsi="Arial"/>
          <w:b/>
          <w:bCs/>
          <w:kern w:val="28"/>
          <w:sz w:val="40"/>
          <w:szCs w:val="32"/>
        </w:rPr>
        <w:t xml:space="preserve"> compensate for the increased demand for folate during pregnancy</w:t>
      </w:r>
      <w:r w:rsidR="007377BA">
        <w:rPr>
          <w:rFonts w:ascii="Arial" w:hAnsi="Arial"/>
          <w:b/>
          <w:bCs/>
          <w:kern w:val="28"/>
          <w:sz w:val="40"/>
          <w:szCs w:val="32"/>
        </w:rPr>
        <w:t xml:space="preserve"> </w:t>
      </w:r>
      <w:r w:rsidR="005C6771" w:rsidRPr="00A61604">
        <w:rPr>
          <w:rFonts w:ascii="Arial" w:hAnsi="Arial"/>
          <w:b/>
          <w:sz w:val="36"/>
          <w:szCs w:val="36"/>
          <w:highlight w:val="cyan"/>
        </w:rPr>
        <w:t>location/service/organisation</w:t>
      </w:r>
    </w:p>
    <w:p w14:paraId="2C28F6A4" w14:textId="2C6F01D9" w:rsidR="00711452" w:rsidRPr="00711452" w:rsidRDefault="00711452" w:rsidP="00711452">
      <w:pPr>
        <w:jc w:val="center"/>
        <w:rPr>
          <w:rFonts w:ascii="Arial" w:hAnsi="Arial" w:cs="Arial"/>
          <w:b/>
          <w:sz w:val="28"/>
          <w:szCs w:val="28"/>
        </w:rPr>
      </w:pPr>
      <w:r w:rsidRPr="00711452">
        <w:rPr>
          <w:rFonts w:ascii="Arial" w:hAnsi="Arial" w:cs="Arial"/>
          <w:sz w:val="28"/>
          <w:szCs w:val="28"/>
        </w:rPr>
        <w:t xml:space="preserve">Version Number </w:t>
      </w:r>
      <w:r w:rsidR="00EB1F4C">
        <w:rPr>
          <w:rFonts w:ascii="Arial" w:hAnsi="Arial" w:cs="Arial"/>
          <w:sz w:val="28"/>
          <w:szCs w:val="28"/>
        </w:rPr>
        <w:t>2.0</w:t>
      </w:r>
    </w:p>
    <w:p w14:paraId="74B412B4" w14:textId="77777777" w:rsidR="00711452" w:rsidRPr="00711452" w:rsidRDefault="00711452" w:rsidP="0012134D">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390FE1" w14:paraId="653D5324"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B3E6F37" w14:textId="77777777" w:rsidR="00711452" w:rsidRPr="00711452" w:rsidRDefault="00711452" w:rsidP="0012134D">
            <w:pPr>
              <w:spacing w:after="0" w:line="240" w:lineRule="auto"/>
              <w:jc w:val="center"/>
              <w:rPr>
                <w:rFonts w:ascii="Arial" w:hAnsi="Arial" w:cs="Arial"/>
                <w:b/>
              </w:rPr>
            </w:pPr>
            <w:r w:rsidRPr="00711452">
              <w:rPr>
                <w:rFonts w:ascii="Arial" w:hAnsi="Arial" w:cs="Arial"/>
                <w:b/>
              </w:rPr>
              <w:t>Change History</w:t>
            </w:r>
          </w:p>
        </w:tc>
      </w:tr>
      <w:tr w:rsidR="00390FE1" w14:paraId="1CB761B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CAB74D3" w14:textId="77777777" w:rsidR="00711452" w:rsidRPr="00711452" w:rsidRDefault="00711452" w:rsidP="0012134D">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58ADC04E" w14:textId="77777777" w:rsidR="00711452" w:rsidRPr="00711452" w:rsidRDefault="00711452" w:rsidP="0012134D">
            <w:pPr>
              <w:spacing w:after="0" w:line="240" w:lineRule="auto"/>
              <w:jc w:val="center"/>
              <w:rPr>
                <w:rFonts w:ascii="Arial" w:hAnsi="Arial" w:cs="Arial"/>
                <w:b/>
              </w:rPr>
            </w:pPr>
            <w:r w:rsidRPr="00711452">
              <w:rPr>
                <w:rFonts w:ascii="Arial" w:hAnsi="Arial" w:cs="Arial"/>
                <w:b/>
              </w:rPr>
              <w:t>Change details</w:t>
            </w:r>
          </w:p>
        </w:tc>
      </w:tr>
      <w:tr w:rsidR="00390FE1" w14:paraId="0638224E"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22C0969" w14:textId="77777777" w:rsidR="00711452" w:rsidRPr="00404E02" w:rsidRDefault="00711452" w:rsidP="0012134D">
            <w:pPr>
              <w:spacing w:after="0" w:line="240" w:lineRule="auto"/>
              <w:rPr>
                <w:rFonts w:ascii="Arial" w:hAnsi="Arial" w:cs="Arial"/>
                <w:sz w:val="20"/>
                <w:szCs w:val="20"/>
              </w:rPr>
            </w:pPr>
            <w:r w:rsidRPr="00404E02">
              <w:rPr>
                <w:rFonts w:ascii="Arial" w:hAnsi="Arial" w:cs="Arial"/>
                <w:sz w:val="20"/>
                <w:szCs w:val="20"/>
              </w:rPr>
              <w:t>Version 1</w:t>
            </w:r>
          </w:p>
          <w:p w14:paraId="2E71E4E0" w14:textId="77777777" w:rsidR="00492391" w:rsidRPr="00404E02" w:rsidRDefault="00CA700F" w:rsidP="0012134D">
            <w:pPr>
              <w:spacing w:after="0" w:line="240" w:lineRule="auto"/>
              <w:rPr>
                <w:rFonts w:ascii="Arial" w:hAnsi="Arial" w:cs="Arial"/>
                <w:color w:val="FF0000"/>
                <w:sz w:val="20"/>
                <w:szCs w:val="20"/>
              </w:rPr>
            </w:pPr>
            <w:r>
              <w:rPr>
                <w:rFonts w:ascii="Arial" w:hAnsi="Arial" w:cs="Arial"/>
                <w:sz w:val="20"/>
                <w:szCs w:val="20"/>
              </w:rPr>
              <w:t>February 2022</w:t>
            </w:r>
          </w:p>
        </w:tc>
        <w:tc>
          <w:tcPr>
            <w:tcW w:w="7020" w:type="dxa"/>
            <w:tcBorders>
              <w:top w:val="single" w:sz="4" w:space="0" w:color="auto"/>
              <w:left w:val="single" w:sz="4" w:space="0" w:color="auto"/>
              <w:bottom w:val="single" w:sz="4" w:space="0" w:color="auto"/>
              <w:right w:val="single" w:sz="4" w:space="0" w:color="auto"/>
            </w:tcBorders>
          </w:tcPr>
          <w:p w14:paraId="62663625" w14:textId="77777777" w:rsidR="00711452" w:rsidRPr="00404E02" w:rsidRDefault="00711452" w:rsidP="0012134D">
            <w:pPr>
              <w:spacing w:after="0" w:line="240" w:lineRule="auto"/>
              <w:rPr>
                <w:rFonts w:ascii="Arial" w:hAnsi="Arial" w:cs="Arial"/>
                <w:sz w:val="20"/>
                <w:szCs w:val="20"/>
              </w:rPr>
            </w:pPr>
            <w:r w:rsidRPr="00404E02">
              <w:rPr>
                <w:rFonts w:ascii="Arial" w:hAnsi="Arial" w:cs="Arial"/>
                <w:sz w:val="20"/>
                <w:szCs w:val="20"/>
              </w:rPr>
              <w:t>New template</w:t>
            </w:r>
          </w:p>
        </w:tc>
      </w:tr>
      <w:tr w:rsidR="006534D9" w:rsidRPr="00EB1F4C" w14:paraId="59F011ED"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288BD4A" w14:textId="77777777" w:rsidR="008C0704" w:rsidRPr="00EB1F4C" w:rsidRDefault="008C0704" w:rsidP="0012134D">
            <w:pPr>
              <w:spacing w:after="0" w:line="240" w:lineRule="auto"/>
              <w:rPr>
                <w:rFonts w:ascii="Arial" w:hAnsi="Arial" w:cs="Arial"/>
                <w:sz w:val="20"/>
                <w:szCs w:val="20"/>
              </w:rPr>
            </w:pPr>
            <w:r w:rsidRPr="00EB1F4C">
              <w:rPr>
                <w:rFonts w:ascii="Arial" w:hAnsi="Arial" w:cs="Arial"/>
                <w:sz w:val="20"/>
                <w:szCs w:val="20"/>
              </w:rPr>
              <w:t>Version 2</w:t>
            </w:r>
          </w:p>
          <w:p w14:paraId="42D28724" w14:textId="1A490B56" w:rsidR="008C0704" w:rsidRPr="00EB1F4C" w:rsidRDefault="00EB1F4C" w:rsidP="0012134D">
            <w:pPr>
              <w:spacing w:after="0" w:line="240" w:lineRule="auto"/>
              <w:rPr>
                <w:rFonts w:ascii="Arial" w:hAnsi="Arial" w:cs="Arial"/>
                <w:sz w:val="20"/>
                <w:szCs w:val="20"/>
              </w:rPr>
            </w:pPr>
            <w:r w:rsidRPr="00EB1F4C">
              <w:rPr>
                <w:rFonts w:ascii="Arial" w:hAnsi="Arial" w:cs="Arial"/>
                <w:sz w:val="20"/>
                <w:szCs w:val="20"/>
              </w:rPr>
              <w:t>October</w:t>
            </w:r>
            <w:r w:rsidR="008C0704" w:rsidRPr="00EB1F4C">
              <w:rPr>
                <w:rFonts w:ascii="Arial" w:hAnsi="Arial" w:cs="Arial"/>
                <w:sz w:val="20"/>
                <w:szCs w:val="20"/>
              </w:rPr>
              <w:t xml:space="preserve"> 2024</w:t>
            </w:r>
          </w:p>
        </w:tc>
        <w:tc>
          <w:tcPr>
            <w:tcW w:w="7020" w:type="dxa"/>
            <w:tcBorders>
              <w:top w:val="single" w:sz="4" w:space="0" w:color="auto"/>
              <w:left w:val="single" w:sz="4" w:space="0" w:color="auto"/>
              <w:bottom w:val="single" w:sz="4" w:space="0" w:color="auto"/>
              <w:right w:val="single" w:sz="4" w:space="0" w:color="auto"/>
            </w:tcBorders>
          </w:tcPr>
          <w:p w14:paraId="427D3F3E" w14:textId="5AC63A15" w:rsidR="00FC51B6" w:rsidRPr="00EB1F4C" w:rsidRDefault="00CB1DA3" w:rsidP="0012134D">
            <w:pPr>
              <w:spacing w:after="0" w:line="240" w:lineRule="auto"/>
              <w:rPr>
                <w:rFonts w:ascii="Arial" w:hAnsi="Arial" w:cs="Arial"/>
                <w:sz w:val="20"/>
                <w:szCs w:val="20"/>
              </w:rPr>
            </w:pPr>
            <w:r w:rsidRPr="00EB1F4C">
              <w:rPr>
                <w:rFonts w:ascii="Arial" w:hAnsi="Arial" w:cs="Arial"/>
                <w:sz w:val="20"/>
                <w:szCs w:val="20"/>
              </w:rPr>
              <w:t>Planned review.</w:t>
            </w:r>
            <w:r w:rsidR="00FC51B6" w:rsidRPr="00EB1F4C">
              <w:rPr>
                <w:rFonts w:ascii="Arial" w:hAnsi="Arial" w:cs="Arial"/>
                <w:sz w:val="20"/>
                <w:szCs w:val="20"/>
              </w:rPr>
              <w:t xml:space="preserve"> </w:t>
            </w:r>
            <w:r w:rsidR="006534D9">
              <w:rPr>
                <w:rFonts w:ascii="Arial" w:hAnsi="Arial" w:cs="Arial"/>
                <w:sz w:val="20"/>
                <w:szCs w:val="20"/>
              </w:rPr>
              <w:t xml:space="preserve">Updated exclusion criteria in line with SmPC. </w:t>
            </w:r>
            <w:r w:rsidRPr="00EB1F4C">
              <w:rPr>
                <w:rFonts w:ascii="Arial" w:hAnsi="Arial" w:cs="Arial"/>
                <w:sz w:val="20"/>
                <w:szCs w:val="20"/>
              </w:rPr>
              <w:t>SLWG membership updated.</w:t>
            </w:r>
            <w:r w:rsidR="006534D9">
              <w:rPr>
                <w:rFonts w:ascii="Arial" w:hAnsi="Arial" w:cs="Arial"/>
                <w:sz w:val="20"/>
                <w:szCs w:val="20"/>
              </w:rPr>
              <w:t xml:space="preserve"> </w:t>
            </w:r>
            <w:r w:rsidR="00FC51B6" w:rsidRPr="00EB1F4C">
              <w:rPr>
                <w:rFonts w:ascii="Arial" w:hAnsi="Arial" w:cs="Arial"/>
                <w:sz w:val="20"/>
                <w:szCs w:val="20"/>
              </w:rPr>
              <w:t>Minor formatting changes.</w:t>
            </w:r>
            <w:r w:rsidR="008F3BF1">
              <w:rPr>
                <w:rFonts w:ascii="Arial" w:hAnsi="Arial" w:cs="Arial"/>
                <w:sz w:val="20"/>
                <w:szCs w:val="20"/>
              </w:rPr>
              <w:t xml:space="preserve"> </w:t>
            </w:r>
            <w:r w:rsidR="00FC51B6" w:rsidRPr="00EB1F4C">
              <w:rPr>
                <w:rFonts w:ascii="Arial" w:hAnsi="Arial" w:cs="Arial"/>
                <w:sz w:val="20"/>
                <w:szCs w:val="20"/>
              </w:rPr>
              <w:t>Watermark removed.</w:t>
            </w:r>
          </w:p>
        </w:tc>
      </w:tr>
    </w:tbl>
    <w:p w14:paraId="34E5507A" w14:textId="77777777" w:rsidR="00711452" w:rsidRPr="00711452" w:rsidRDefault="00711452" w:rsidP="0012134D">
      <w:pPr>
        <w:spacing w:after="0" w:line="240" w:lineRule="auto"/>
        <w:rPr>
          <w:rFonts w:ascii="Arial" w:hAnsi="Arial" w:cs="Arial"/>
          <w:b/>
          <w:color w:val="FF0000"/>
        </w:rPr>
      </w:pPr>
    </w:p>
    <w:p w14:paraId="44210A85" w14:textId="77777777" w:rsidR="00B64921" w:rsidRDefault="00711452" w:rsidP="0012134D">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30CDAE0C" w14:textId="77777777" w:rsidR="0012134D" w:rsidRDefault="0012134D" w:rsidP="0012134D">
      <w:pPr>
        <w:spacing w:after="0" w:line="240" w:lineRule="auto"/>
        <w:jc w:val="both"/>
        <w:rPr>
          <w:rFonts w:ascii="Arial" w:hAnsi="Arial" w:cs="Arial"/>
        </w:rPr>
      </w:pPr>
    </w:p>
    <w:p w14:paraId="6483EBE9" w14:textId="348742F9" w:rsidR="00711452" w:rsidRDefault="00711452" w:rsidP="0012134D">
      <w:pPr>
        <w:spacing w:after="0" w:line="240" w:lineRule="auto"/>
        <w:jc w:val="both"/>
        <w:rPr>
          <w:rFonts w:ascii="Arial" w:hAnsi="Arial"/>
          <w:bCs/>
          <w:kern w:val="28"/>
        </w:rPr>
      </w:pPr>
      <w:r w:rsidRPr="00711452">
        <w:rPr>
          <w:rFonts w:ascii="Arial" w:hAnsi="Arial"/>
          <w:bCs/>
          <w:kern w:val="28"/>
        </w:rPr>
        <w:t xml:space="preserve">This Patient Group Direction (PGD) must only be used by registered </w:t>
      </w:r>
      <w:r>
        <w:rPr>
          <w:rFonts w:ascii="Arial" w:hAnsi="Arial"/>
          <w:bCs/>
          <w:kern w:val="28"/>
        </w:rPr>
        <w:t>professionals</w:t>
      </w:r>
      <w:r w:rsidRPr="00711452">
        <w:rPr>
          <w:rFonts w:ascii="Arial" w:hAnsi="Arial"/>
          <w:bCs/>
          <w:kern w:val="28"/>
        </w:rPr>
        <w:t xml:space="preserve"> who have been named and authorised by their organisation to practise under it</w:t>
      </w:r>
      <w:r w:rsidR="00722BE5">
        <w:rPr>
          <w:rFonts w:ascii="Arial" w:hAnsi="Arial"/>
          <w:bCs/>
          <w:kern w:val="28"/>
        </w:rPr>
        <w:t xml:space="preserve"> (See Appendix A</w:t>
      </w:r>
      <w:r w:rsidR="00AC58F7">
        <w:rPr>
          <w:rFonts w:ascii="Arial" w:hAnsi="Arial"/>
          <w:bCs/>
          <w:kern w:val="28"/>
        </w:rPr>
        <w:t>)</w:t>
      </w:r>
      <w:r w:rsidRPr="00711452">
        <w:rPr>
          <w:rFonts w:ascii="Arial" w:hAnsi="Arial"/>
          <w:bCs/>
          <w:kern w:val="28"/>
        </w:rPr>
        <w:t>. The most recent and in date final signed version of the PGD must be used.</w:t>
      </w:r>
    </w:p>
    <w:p w14:paraId="1449F864" w14:textId="77777777" w:rsidR="0012134D" w:rsidRDefault="0012134D" w:rsidP="0012134D">
      <w:pPr>
        <w:spacing w:after="0" w:line="240" w:lineRule="auto"/>
        <w:jc w:val="both"/>
        <w:rPr>
          <w:rFonts w:ascii="Arial" w:hAnsi="Arial"/>
          <w:bCs/>
          <w:kern w:val="28"/>
        </w:rPr>
      </w:pPr>
    </w:p>
    <w:p w14:paraId="225D1BA4" w14:textId="77777777" w:rsidR="0012134D" w:rsidRDefault="0012134D" w:rsidP="0012134D">
      <w:pPr>
        <w:spacing w:after="0" w:line="240" w:lineRule="auto"/>
        <w:jc w:val="both"/>
        <w:rPr>
          <w:rFonts w:ascii="Arial" w:hAnsi="Arial"/>
          <w:bCs/>
          <w:kern w:val="28"/>
        </w:rPr>
      </w:pPr>
    </w:p>
    <w:p w14:paraId="5DBCA24A" w14:textId="77777777" w:rsidR="0012134D" w:rsidRDefault="0012134D" w:rsidP="0012134D">
      <w:pPr>
        <w:spacing w:after="0" w:line="240" w:lineRule="auto"/>
        <w:jc w:val="both"/>
        <w:rPr>
          <w:rFonts w:ascii="Arial" w:hAnsi="Arial"/>
          <w:bCs/>
          <w:kern w:val="28"/>
        </w:rPr>
      </w:pPr>
    </w:p>
    <w:p w14:paraId="70C16DC6" w14:textId="77777777" w:rsidR="00E136C7" w:rsidRDefault="00E136C7" w:rsidP="0012134D">
      <w:pPr>
        <w:spacing w:after="0" w:line="240" w:lineRule="auto"/>
        <w:jc w:val="both"/>
        <w:rPr>
          <w:rFonts w:ascii="Arial" w:hAnsi="Arial"/>
          <w:bCs/>
          <w:kern w:val="28"/>
        </w:rPr>
      </w:pPr>
    </w:p>
    <w:p w14:paraId="3EBC4403" w14:textId="77777777" w:rsidR="0012134D" w:rsidRDefault="0012134D" w:rsidP="0012134D">
      <w:pPr>
        <w:spacing w:after="0" w:line="240" w:lineRule="auto"/>
        <w:jc w:val="both"/>
        <w:rPr>
          <w:rFonts w:ascii="Arial" w:hAnsi="Arial"/>
          <w:bCs/>
          <w:kern w:val="28"/>
        </w:rPr>
      </w:pPr>
    </w:p>
    <w:p w14:paraId="6491B949" w14:textId="77777777" w:rsidR="0012134D" w:rsidRDefault="0012134D" w:rsidP="0012134D">
      <w:pPr>
        <w:spacing w:after="0" w:line="240" w:lineRule="auto"/>
        <w:jc w:val="both"/>
        <w:rPr>
          <w:rFonts w:ascii="Arial" w:hAnsi="Arial"/>
          <w:bCs/>
          <w:kern w:val="28"/>
        </w:rPr>
      </w:pPr>
    </w:p>
    <w:p w14:paraId="4FBB84C3" w14:textId="2A37022C" w:rsidR="0078141A" w:rsidRPr="0078141A" w:rsidRDefault="0078141A" w:rsidP="0012134D">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390FE1" w14:paraId="7D33B7E8" w14:textId="77777777" w:rsidTr="00524295">
        <w:tc>
          <w:tcPr>
            <w:tcW w:w="3969" w:type="dxa"/>
          </w:tcPr>
          <w:p w14:paraId="3D9F2055" w14:textId="77777777" w:rsidR="0080059B" w:rsidRPr="0078141A" w:rsidRDefault="0080059B" w:rsidP="0012134D">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1CA83CDD" w14:textId="470A6BEB" w:rsidR="0080059B" w:rsidRPr="0012134D" w:rsidRDefault="0012134D" w:rsidP="0012134D">
            <w:pPr>
              <w:spacing w:after="0" w:line="240" w:lineRule="auto"/>
              <w:rPr>
                <w:rFonts w:ascii="Arial" w:hAnsi="Arial" w:cs="Arial"/>
              </w:rPr>
            </w:pPr>
            <w:r>
              <w:rPr>
                <w:rFonts w:ascii="Arial" w:hAnsi="Arial" w:cs="Arial"/>
              </w:rPr>
              <w:t>1</w:t>
            </w:r>
            <w:r w:rsidRPr="0012134D">
              <w:rPr>
                <w:rFonts w:ascii="Arial" w:hAnsi="Arial" w:cs="Arial"/>
                <w:vertAlign w:val="superscript"/>
              </w:rPr>
              <w:t>st</w:t>
            </w:r>
            <w:r>
              <w:rPr>
                <w:rFonts w:ascii="Arial" w:hAnsi="Arial" w:cs="Arial"/>
              </w:rPr>
              <w:t xml:space="preserve"> February 2025</w:t>
            </w:r>
          </w:p>
        </w:tc>
      </w:tr>
      <w:tr w:rsidR="00390FE1" w14:paraId="755D9590" w14:textId="77777777" w:rsidTr="00524295">
        <w:tc>
          <w:tcPr>
            <w:tcW w:w="3969" w:type="dxa"/>
          </w:tcPr>
          <w:p w14:paraId="184FBDE6" w14:textId="429D75C5" w:rsidR="0080059B" w:rsidRPr="0078141A" w:rsidRDefault="0080059B" w:rsidP="0012134D">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tc>
        <w:tc>
          <w:tcPr>
            <w:tcW w:w="4536" w:type="dxa"/>
          </w:tcPr>
          <w:p w14:paraId="4634DF0B" w14:textId="66AAC60B" w:rsidR="0080059B" w:rsidRPr="0012134D" w:rsidRDefault="0012134D" w:rsidP="0012134D">
            <w:pPr>
              <w:spacing w:after="0" w:line="240" w:lineRule="auto"/>
              <w:rPr>
                <w:rFonts w:ascii="Arial" w:hAnsi="Arial" w:cs="Arial"/>
              </w:rPr>
            </w:pPr>
            <w:r>
              <w:rPr>
                <w:rFonts w:ascii="Arial" w:hAnsi="Arial" w:cs="Arial"/>
              </w:rPr>
              <w:t>August 2027</w:t>
            </w:r>
          </w:p>
        </w:tc>
      </w:tr>
      <w:tr w:rsidR="00390FE1" w14:paraId="46204C79" w14:textId="77777777" w:rsidTr="00524295">
        <w:tc>
          <w:tcPr>
            <w:tcW w:w="3969" w:type="dxa"/>
          </w:tcPr>
          <w:p w14:paraId="223FBD16" w14:textId="77777777" w:rsidR="0080059B" w:rsidRPr="0078141A" w:rsidRDefault="0080059B" w:rsidP="0012134D">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0245AD91" w14:textId="01790423" w:rsidR="0080059B" w:rsidRPr="0012134D" w:rsidRDefault="0012134D" w:rsidP="0012134D">
            <w:pPr>
              <w:spacing w:after="0" w:line="240" w:lineRule="auto"/>
              <w:rPr>
                <w:rFonts w:ascii="Arial" w:hAnsi="Arial" w:cs="Arial"/>
              </w:rPr>
            </w:pPr>
            <w:r>
              <w:rPr>
                <w:rFonts w:ascii="Arial" w:hAnsi="Arial" w:cs="Arial"/>
              </w:rPr>
              <w:t>31</w:t>
            </w:r>
            <w:r w:rsidRPr="0012134D">
              <w:rPr>
                <w:rFonts w:ascii="Arial" w:hAnsi="Arial" w:cs="Arial"/>
                <w:vertAlign w:val="superscript"/>
              </w:rPr>
              <w:t>st</w:t>
            </w:r>
            <w:r>
              <w:rPr>
                <w:rFonts w:ascii="Arial" w:hAnsi="Arial" w:cs="Arial"/>
              </w:rPr>
              <w:t xml:space="preserve"> January 2028</w:t>
            </w:r>
          </w:p>
        </w:tc>
      </w:tr>
    </w:tbl>
    <w:p w14:paraId="60228BA9" w14:textId="77777777" w:rsidR="0078141A" w:rsidRPr="0078141A" w:rsidRDefault="0078141A" w:rsidP="0012134D">
      <w:pPr>
        <w:spacing w:after="0" w:line="240" w:lineRule="auto"/>
        <w:jc w:val="both"/>
        <w:rPr>
          <w:rFonts w:ascii="Arial" w:hAnsi="Arial" w:cs="Arial"/>
          <w:bCs/>
          <w:color w:val="FF0000"/>
        </w:rPr>
      </w:pPr>
    </w:p>
    <w:p w14:paraId="2854AABD" w14:textId="55A487E3" w:rsidR="00D10926" w:rsidRDefault="00D10926" w:rsidP="0012134D">
      <w:pPr>
        <w:spacing w:after="0" w:line="240" w:lineRule="auto"/>
        <w:rPr>
          <w:rFonts w:ascii="Arial" w:hAnsi="Arial" w:cs="Arial"/>
        </w:rPr>
      </w:pPr>
      <w:r w:rsidRPr="00D10926">
        <w:rPr>
          <w:rFonts w:ascii="Arial" w:hAnsi="Arial" w:cs="Arial"/>
        </w:rPr>
        <w:t xml:space="preserve">This PGD template has been peer reviewed by the </w:t>
      </w:r>
      <w:r w:rsidR="003A61A3">
        <w:rPr>
          <w:rFonts w:ascii="Arial" w:hAnsi="Arial" w:cs="Arial"/>
        </w:rPr>
        <w:t>Preventative Medicines in Pregnancy</w:t>
      </w:r>
      <w:r w:rsidRPr="00D10926">
        <w:rPr>
          <w:rFonts w:ascii="Arial" w:hAnsi="Arial" w:cs="Arial"/>
        </w:rPr>
        <w:t xml:space="preserve"> PGDs Short Life Working Group</w:t>
      </w:r>
      <w:r w:rsidR="00CB1DA3">
        <w:rPr>
          <w:rFonts w:ascii="Arial" w:hAnsi="Arial" w:cs="Arial"/>
        </w:rPr>
        <w:t xml:space="preserve"> (SLWG)</w:t>
      </w:r>
      <w:r w:rsidRPr="00D10926">
        <w:rPr>
          <w:rFonts w:ascii="Arial" w:hAnsi="Arial" w:cs="Arial"/>
        </w:rPr>
        <w:t xml:space="preserve"> in accordance with their Terms of Reference. </w:t>
      </w:r>
      <w:r w:rsidR="007926BC" w:rsidRPr="007926BC">
        <w:rPr>
          <w:rFonts w:ascii="Arial" w:hAnsi="Arial" w:cs="Arial"/>
        </w:rPr>
        <w:t xml:space="preserve">It has been </w:t>
      </w:r>
      <w:bookmarkStart w:id="3" w:name="_Hlk171710444"/>
      <w:r w:rsidR="00F97C2C" w:rsidRPr="00F97C2C">
        <w:rPr>
          <w:rFonts w:ascii="Arial" w:hAnsi="Arial" w:cs="Arial"/>
        </w:rPr>
        <w:t xml:space="preserve">endorsed by </w:t>
      </w:r>
      <w:r w:rsidR="00BE0CD4">
        <w:rPr>
          <w:rFonts w:ascii="Arial" w:hAnsi="Arial" w:cs="Arial"/>
        </w:rPr>
        <w:t>Professor Donald Peebles</w:t>
      </w:r>
      <w:r w:rsidR="00F97C2C" w:rsidRPr="00F97C2C">
        <w:rPr>
          <w:rFonts w:ascii="Arial" w:hAnsi="Arial" w:cs="Arial"/>
        </w:rPr>
        <w:t>, National Clinical Director for Maternity NHS England</w:t>
      </w:r>
      <w:bookmarkEnd w:id="3"/>
      <w:r w:rsidR="00F97C2C" w:rsidRPr="00F97C2C">
        <w:rPr>
          <w:rFonts w:ascii="Arial" w:hAnsi="Arial" w:cs="Arial"/>
        </w:rPr>
        <w:t>.</w:t>
      </w:r>
    </w:p>
    <w:p w14:paraId="115214B6" w14:textId="77777777" w:rsidR="0012134D" w:rsidRDefault="0012134D" w:rsidP="0012134D">
      <w:pPr>
        <w:spacing w:after="0" w:line="240" w:lineRule="auto"/>
        <w:rPr>
          <w:rFonts w:ascii="Arial" w:hAnsi="Arial" w:cs="Arial"/>
        </w:rPr>
      </w:pPr>
    </w:p>
    <w:p w14:paraId="12BBCE2C" w14:textId="77777777" w:rsidR="0078141A" w:rsidRDefault="00AC58F7" w:rsidP="0012134D">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529"/>
        <w:gridCol w:w="1417"/>
      </w:tblGrid>
      <w:tr w:rsidR="00B64921" w:rsidRPr="00EB1F4C" w14:paraId="15959705" w14:textId="48271EAF" w:rsidTr="00B64921">
        <w:trPr>
          <w:trHeight w:val="254"/>
        </w:trPr>
        <w:tc>
          <w:tcPr>
            <w:tcW w:w="2268" w:type="dxa"/>
            <w:shd w:val="clear" w:color="auto" w:fill="D9D9D9"/>
            <w:vAlign w:val="center"/>
          </w:tcPr>
          <w:p w14:paraId="5FB03C4D"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cs="Arial"/>
                <w:b/>
              </w:rPr>
            </w:pPr>
            <w:bookmarkStart w:id="4" w:name="_Hlk171609844"/>
            <w:r w:rsidRPr="00EB1F4C">
              <w:rPr>
                <w:rFonts w:ascii="Arial" w:hAnsi="Arial" w:cs="Arial"/>
                <w:b/>
              </w:rPr>
              <w:t>Name</w:t>
            </w:r>
          </w:p>
        </w:tc>
        <w:tc>
          <w:tcPr>
            <w:tcW w:w="5529" w:type="dxa"/>
            <w:shd w:val="clear" w:color="auto" w:fill="D9D9D9"/>
            <w:vAlign w:val="center"/>
          </w:tcPr>
          <w:p w14:paraId="07063E6D"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cs="Arial"/>
                <w:b/>
              </w:rPr>
            </w:pPr>
            <w:r w:rsidRPr="00EB1F4C">
              <w:rPr>
                <w:rFonts w:ascii="Arial" w:hAnsi="Arial" w:cs="Arial"/>
                <w:b/>
              </w:rPr>
              <w:t>Designation</w:t>
            </w:r>
          </w:p>
        </w:tc>
        <w:tc>
          <w:tcPr>
            <w:tcW w:w="1417" w:type="dxa"/>
            <w:shd w:val="clear" w:color="auto" w:fill="D9D9D9"/>
          </w:tcPr>
          <w:p w14:paraId="1FD0FDE9" w14:textId="2AB045D1" w:rsidR="00B64921" w:rsidRPr="00EB1F4C" w:rsidRDefault="00B64921" w:rsidP="0012134D">
            <w:pPr>
              <w:overflowPunct w:val="0"/>
              <w:autoSpaceDE w:val="0"/>
              <w:autoSpaceDN w:val="0"/>
              <w:adjustRightInd w:val="0"/>
              <w:spacing w:after="0" w:line="240" w:lineRule="auto"/>
              <w:textAlignment w:val="baseline"/>
              <w:rPr>
                <w:rFonts w:ascii="Arial" w:hAnsi="Arial" w:cs="Arial"/>
                <w:b/>
              </w:rPr>
            </w:pPr>
            <w:r>
              <w:rPr>
                <w:rFonts w:ascii="Arial" w:hAnsi="Arial" w:cs="Arial"/>
                <w:b/>
              </w:rPr>
              <w:t>DATE</w:t>
            </w:r>
          </w:p>
        </w:tc>
      </w:tr>
      <w:tr w:rsidR="00B64921" w:rsidRPr="00EB1F4C" w14:paraId="48221477" w14:textId="2FA9A16C" w:rsidTr="00B64921">
        <w:trPr>
          <w:trHeight w:val="267"/>
        </w:trPr>
        <w:tc>
          <w:tcPr>
            <w:tcW w:w="2268" w:type="dxa"/>
          </w:tcPr>
          <w:p w14:paraId="26CF4FDE"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sz w:val="20"/>
                <w:szCs w:val="20"/>
              </w:rPr>
            </w:pPr>
            <w:r w:rsidRPr="00EB1F4C">
              <w:rPr>
                <w:rFonts w:ascii="Arial" w:hAnsi="Arial" w:cs="Arial"/>
                <w:sz w:val="20"/>
                <w:szCs w:val="20"/>
              </w:rPr>
              <w:t>Amy Moore</w:t>
            </w:r>
          </w:p>
        </w:tc>
        <w:tc>
          <w:tcPr>
            <w:tcW w:w="5529" w:type="dxa"/>
          </w:tcPr>
          <w:p w14:paraId="7A37C233"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B1F4C">
              <w:rPr>
                <w:rFonts w:ascii="Arial" w:hAnsi="Arial" w:cs="Arial"/>
                <w:sz w:val="20"/>
                <w:szCs w:val="20"/>
              </w:rPr>
              <w:t>Pharmacist HIV, Sexual and Reproductive Health Kingston Hospital NHS Foundation Trust</w:t>
            </w:r>
          </w:p>
        </w:tc>
        <w:tc>
          <w:tcPr>
            <w:tcW w:w="1417" w:type="dxa"/>
            <w:vMerge w:val="restart"/>
            <w:vAlign w:val="center"/>
          </w:tcPr>
          <w:p w14:paraId="19A2748B" w14:textId="69FB2850" w:rsidR="00B64921" w:rsidRPr="00EB1F4C" w:rsidRDefault="00B64921" w:rsidP="0012134D">
            <w:pPr>
              <w:tabs>
                <w:tab w:val="left" w:pos="2320"/>
              </w:tabs>
              <w:overflowPunct w:val="0"/>
              <w:autoSpaceDE w:val="0"/>
              <w:autoSpaceDN w:val="0"/>
              <w:adjustRightInd w:val="0"/>
              <w:spacing w:after="0" w:line="240" w:lineRule="auto"/>
              <w:jc w:val="center"/>
              <w:textAlignment w:val="baseline"/>
              <w:rPr>
                <w:rFonts w:ascii="Arial" w:hAnsi="Arial" w:cs="Arial"/>
                <w:sz w:val="20"/>
                <w:szCs w:val="20"/>
              </w:rPr>
            </w:pPr>
            <w:r>
              <w:rPr>
                <w:rFonts w:ascii="Arial" w:hAnsi="Arial" w:cs="Arial"/>
                <w:sz w:val="20"/>
                <w:szCs w:val="20"/>
              </w:rPr>
              <w:t>October 2024</w:t>
            </w:r>
          </w:p>
        </w:tc>
      </w:tr>
      <w:tr w:rsidR="00B64921" w:rsidRPr="00EB1F4C" w14:paraId="2DB50CA7" w14:textId="085DB6D7" w:rsidTr="00B64921">
        <w:trPr>
          <w:trHeight w:val="267"/>
        </w:trPr>
        <w:tc>
          <w:tcPr>
            <w:tcW w:w="2268" w:type="dxa"/>
          </w:tcPr>
          <w:p w14:paraId="67813D75"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sz w:val="20"/>
                <w:szCs w:val="20"/>
              </w:rPr>
            </w:pPr>
            <w:r w:rsidRPr="00EB1F4C">
              <w:rPr>
                <w:rFonts w:ascii="Arial" w:hAnsi="Arial"/>
                <w:sz w:val="20"/>
                <w:szCs w:val="20"/>
              </w:rPr>
              <w:t>Christina Nurmahi</w:t>
            </w:r>
          </w:p>
        </w:tc>
        <w:tc>
          <w:tcPr>
            <w:tcW w:w="5529" w:type="dxa"/>
          </w:tcPr>
          <w:p w14:paraId="641FA976"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B1F4C">
              <w:rPr>
                <w:rFonts w:ascii="Arial" w:hAnsi="Arial" w:cs="Arial"/>
                <w:sz w:val="20"/>
                <w:szCs w:val="20"/>
              </w:rPr>
              <w:t>Women &amp; Newborn Care Group Lead Pharmacist, University Hospital Southampton NHS Foundation Trust</w:t>
            </w:r>
          </w:p>
        </w:tc>
        <w:tc>
          <w:tcPr>
            <w:tcW w:w="1417" w:type="dxa"/>
            <w:vMerge/>
          </w:tcPr>
          <w:p w14:paraId="0E3C0E61"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B64921" w:rsidRPr="00EB1F4C" w14:paraId="4EB7ABE1" w14:textId="31006286" w:rsidTr="00B64921">
        <w:trPr>
          <w:trHeight w:val="267"/>
        </w:trPr>
        <w:tc>
          <w:tcPr>
            <w:tcW w:w="2268" w:type="dxa"/>
          </w:tcPr>
          <w:p w14:paraId="15B33504"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sz w:val="20"/>
                <w:szCs w:val="20"/>
              </w:rPr>
            </w:pPr>
            <w:r w:rsidRPr="00EB1F4C">
              <w:rPr>
                <w:rFonts w:ascii="Arial" w:hAnsi="Arial"/>
                <w:sz w:val="20"/>
                <w:szCs w:val="20"/>
              </w:rPr>
              <w:t xml:space="preserve">Emma Luhr </w:t>
            </w:r>
          </w:p>
        </w:tc>
        <w:tc>
          <w:tcPr>
            <w:tcW w:w="5529" w:type="dxa"/>
          </w:tcPr>
          <w:p w14:paraId="1705A5D5"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B1F4C">
              <w:rPr>
                <w:rFonts w:ascii="Arial" w:hAnsi="Arial" w:cs="Arial"/>
                <w:sz w:val="20"/>
                <w:szCs w:val="20"/>
              </w:rPr>
              <w:t>Director of Midwifery, Frimley Health NHS Foundation Trust</w:t>
            </w:r>
          </w:p>
        </w:tc>
        <w:tc>
          <w:tcPr>
            <w:tcW w:w="1417" w:type="dxa"/>
            <w:vMerge/>
          </w:tcPr>
          <w:p w14:paraId="76D08CDD"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B64921" w:rsidRPr="00EB1F4C" w14:paraId="3FB6A0DB" w14:textId="39B8E07D" w:rsidTr="00B64921">
        <w:trPr>
          <w:trHeight w:val="267"/>
        </w:trPr>
        <w:tc>
          <w:tcPr>
            <w:tcW w:w="2268" w:type="dxa"/>
          </w:tcPr>
          <w:p w14:paraId="20771FCD" w14:textId="0C0B5D66" w:rsidR="00B64921" w:rsidRPr="00EB1F4C" w:rsidRDefault="00B64921" w:rsidP="0012134D">
            <w:pPr>
              <w:spacing w:after="0" w:line="240" w:lineRule="auto"/>
              <w:rPr>
                <w:rFonts w:ascii="Arial" w:hAnsi="Arial"/>
                <w:sz w:val="20"/>
                <w:szCs w:val="20"/>
              </w:rPr>
            </w:pPr>
            <w:r w:rsidRPr="00EB1F4C">
              <w:rPr>
                <w:rFonts w:ascii="Arial" w:hAnsi="Arial" w:cs="Arial"/>
                <w:sz w:val="20"/>
                <w:szCs w:val="20"/>
              </w:rPr>
              <w:t>Felipe Castro Cardona</w:t>
            </w:r>
          </w:p>
        </w:tc>
        <w:tc>
          <w:tcPr>
            <w:tcW w:w="5529" w:type="dxa"/>
          </w:tcPr>
          <w:p w14:paraId="00F7DBC4" w14:textId="56F76225"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Head of Midwifery Clinical Workforce</w:t>
            </w:r>
            <w:r>
              <w:rPr>
                <w:rFonts w:ascii="Arial" w:hAnsi="Arial" w:cs="Arial"/>
                <w:sz w:val="20"/>
                <w:szCs w:val="20"/>
              </w:rPr>
              <w:br/>
            </w:r>
            <w:r w:rsidRPr="00EB1F4C">
              <w:rPr>
                <w:rFonts w:ascii="Arial" w:hAnsi="Arial" w:cs="Arial"/>
                <w:sz w:val="20"/>
                <w:szCs w:val="20"/>
              </w:rPr>
              <w:t>Chief Midwifery Office, NHS England</w:t>
            </w:r>
          </w:p>
        </w:tc>
        <w:tc>
          <w:tcPr>
            <w:tcW w:w="1417" w:type="dxa"/>
            <w:vMerge/>
          </w:tcPr>
          <w:p w14:paraId="0488EBF6" w14:textId="77777777" w:rsidR="00B64921" w:rsidRPr="00EB1F4C" w:rsidRDefault="00B64921" w:rsidP="0012134D">
            <w:pPr>
              <w:spacing w:after="0" w:line="240" w:lineRule="auto"/>
              <w:rPr>
                <w:rFonts w:ascii="Arial" w:hAnsi="Arial" w:cs="Arial"/>
                <w:sz w:val="20"/>
                <w:szCs w:val="20"/>
              </w:rPr>
            </w:pPr>
          </w:p>
        </w:tc>
      </w:tr>
      <w:tr w:rsidR="00B64921" w:rsidRPr="00EB1F4C" w14:paraId="0AE8ADFC" w14:textId="13D0F9F6" w:rsidTr="00B64921">
        <w:trPr>
          <w:trHeight w:val="267"/>
        </w:trPr>
        <w:tc>
          <w:tcPr>
            <w:tcW w:w="2268" w:type="dxa"/>
          </w:tcPr>
          <w:p w14:paraId="5C45C34E"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sz w:val="20"/>
                <w:szCs w:val="20"/>
              </w:rPr>
            </w:pPr>
            <w:r w:rsidRPr="00EB1F4C">
              <w:rPr>
                <w:rFonts w:ascii="Arial" w:hAnsi="Arial"/>
                <w:sz w:val="20"/>
                <w:szCs w:val="20"/>
              </w:rPr>
              <w:t>George Attilakos</w:t>
            </w:r>
          </w:p>
        </w:tc>
        <w:tc>
          <w:tcPr>
            <w:tcW w:w="5529" w:type="dxa"/>
          </w:tcPr>
          <w:p w14:paraId="7B627328"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B1F4C">
              <w:rPr>
                <w:rFonts w:ascii="Arial" w:hAnsi="Arial" w:cs="Arial"/>
                <w:sz w:val="20"/>
                <w:szCs w:val="20"/>
              </w:rPr>
              <w:t>Consultant in Fetal Medicine and Obstetrics in UCLH, Clinical Lead for Obstetrics and RCOG Council member</w:t>
            </w:r>
          </w:p>
        </w:tc>
        <w:tc>
          <w:tcPr>
            <w:tcW w:w="1417" w:type="dxa"/>
            <w:vMerge/>
          </w:tcPr>
          <w:p w14:paraId="531211AE"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B64921" w:rsidRPr="00EB1F4C" w14:paraId="11CDC9AA" w14:textId="773D2CB4" w:rsidTr="00B64921">
        <w:trPr>
          <w:trHeight w:val="267"/>
        </w:trPr>
        <w:tc>
          <w:tcPr>
            <w:tcW w:w="2268" w:type="dxa"/>
          </w:tcPr>
          <w:p w14:paraId="36DA519E"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Hannah Putley</w:t>
            </w:r>
          </w:p>
          <w:p w14:paraId="7079E972"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sz w:val="20"/>
                <w:szCs w:val="20"/>
              </w:rPr>
            </w:pPr>
          </w:p>
        </w:tc>
        <w:tc>
          <w:tcPr>
            <w:tcW w:w="5529" w:type="dxa"/>
          </w:tcPr>
          <w:p w14:paraId="0FFDAC75"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B1F4C">
              <w:rPr>
                <w:rFonts w:ascii="Arial" w:hAnsi="Arial" w:cs="Arial"/>
                <w:sz w:val="20"/>
                <w:szCs w:val="20"/>
              </w:rPr>
              <w:t>Policy Manager - Maternity and Neonatal, NHS Quality, Safety and Investigations, Department of Health and Social Care</w:t>
            </w:r>
          </w:p>
        </w:tc>
        <w:tc>
          <w:tcPr>
            <w:tcW w:w="1417" w:type="dxa"/>
            <w:vMerge/>
          </w:tcPr>
          <w:p w14:paraId="00E8F632"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B64921" w:rsidRPr="00EB1F4C" w14:paraId="5928DB5B" w14:textId="043998EF" w:rsidTr="00B64921">
        <w:trPr>
          <w:trHeight w:val="150"/>
        </w:trPr>
        <w:tc>
          <w:tcPr>
            <w:tcW w:w="2268" w:type="dxa"/>
          </w:tcPr>
          <w:p w14:paraId="1EBE4B56"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sz w:val="20"/>
                <w:szCs w:val="20"/>
              </w:rPr>
            </w:pPr>
            <w:r w:rsidRPr="00EB1F4C">
              <w:rPr>
                <w:rFonts w:ascii="Arial" w:hAnsi="Arial"/>
                <w:sz w:val="20"/>
                <w:szCs w:val="20"/>
              </w:rPr>
              <w:t xml:space="preserve">Jo Jenkins </w:t>
            </w:r>
          </w:p>
        </w:tc>
        <w:tc>
          <w:tcPr>
            <w:tcW w:w="5529" w:type="dxa"/>
          </w:tcPr>
          <w:p w14:paraId="055CEE26"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sz w:val="20"/>
                <w:szCs w:val="20"/>
              </w:rPr>
            </w:pPr>
            <w:r w:rsidRPr="00EB1F4C">
              <w:rPr>
                <w:rFonts w:ascii="Arial" w:hAnsi="Arial" w:cs="Arial"/>
                <w:sz w:val="20"/>
                <w:szCs w:val="20"/>
              </w:rPr>
              <w:t>Associate Director Medicines Governance</w:t>
            </w:r>
            <w:r w:rsidRPr="00EB1F4C">
              <w:rPr>
                <w:rFonts w:ascii="Arial" w:hAnsi="Arial"/>
                <w:sz w:val="20"/>
                <w:szCs w:val="20"/>
              </w:rPr>
              <w:t xml:space="preserve"> Specialist Pharmacy Service</w:t>
            </w:r>
          </w:p>
        </w:tc>
        <w:tc>
          <w:tcPr>
            <w:tcW w:w="1417" w:type="dxa"/>
            <w:vMerge/>
          </w:tcPr>
          <w:p w14:paraId="30ACC837"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B64921" w:rsidRPr="00EB1F4C" w14:paraId="042D1DBE" w14:textId="6F89BE93" w:rsidTr="00B64921">
        <w:trPr>
          <w:trHeight w:val="267"/>
        </w:trPr>
        <w:tc>
          <w:tcPr>
            <w:tcW w:w="2268" w:type="dxa"/>
          </w:tcPr>
          <w:p w14:paraId="15130BD9" w14:textId="77777777" w:rsidR="00B64921" w:rsidRPr="00EB1F4C" w:rsidRDefault="00B64921" w:rsidP="0012134D">
            <w:pPr>
              <w:overflowPunct w:val="0"/>
              <w:autoSpaceDE w:val="0"/>
              <w:autoSpaceDN w:val="0"/>
              <w:adjustRightInd w:val="0"/>
              <w:spacing w:after="0" w:line="240" w:lineRule="auto"/>
              <w:textAlignment w:val="baseline"/>
              <w:rPr>
                <w:rFonts w:ascii="Arial" w:hAnsi="Arial"/>
                <w:sz w:val="20"/>
                <w:szCs w:val="20"/>
              </w:rPr>
            </w:pPr>
            <w:r w:rsidRPr="00EB1F4C">
              <w:rPr>
                <w:rFonts w:ascii="Arial" w:hAnsi="Arial" w:cs="Arial"/>
                <w:sz w:val="20"/>
                <w:szCs w:val="20"/>
              </w:rPr>
              <w:t>Rosie Furner (Working Group Co-ordinator)</w:t>
            </w:r>
          </w:p>
        </w:tc>
        <w:tc>
          <w:tcPr>
            <w:tcW w:w="5529" w:type="dxa"/>
          </w:tcPr>
          <w:p w14:paraId="16BA4D1D"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B1F4C">
              <w:rPr>
                <w:rFonts w:ascii="Arial" w:hAnsi="Arial" w:cs="Arial"/>
                <w:sz w:val="20"/>
                <w:szCs w:val="20"/>
              </w:rPr>
              <w:t>Advanced Specialist Pharmacist - Patient Group Directions and Medicines Mechanisms, Specialist Pharmacy Service</w:t>
            </w:r>
          </w:p>
        </w:tc>
        <w:tc>
          <w:tcPr>
            <w:tcW w:w="1417" w:type="dxa"/>
            <w:vMerge/>
          </w:tcPr>
          <w:p w14:paraId="12611118" w14:textId="77777777" w:rsidR="00B64921" w:rsidRPr="00EB1F4C" w:rsidRDefault="00B64921" w:rsidP="0012134D">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B64921" w:rsidRPr="00EB1F4C" w14:paraId="49940BE8" w14:textId="30D96F01" w:rsidTr="00B64921">
        <w:trPr>
          <w:trHeight w:val="267"/>
        </w:trPr>
        <w:tc>
          <w:tcPr>
            <w:tcW w:w="2268" w:type="dxa"/>
          </w:tcPr>
          <w:p w14:paraId="51DAAB15"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Sandy Richards</w:t>
            </w:r>
          </w:p>
          <w:p w14:paraId="4CE23326" w14:textId="77777777" w:rsidR="00B64921" w:rsidRPr="00EB1F4C" w:rsidRDefault="00B64921" w:rsidP="0012134D">
            <w:pPr>
              <w:spacing w:after="0" w:line="240" w:lineRule="auto"/>
              <w:rPr>
                <w:rFonts w:ascii="Arial" w:hAnsi="Arial" w:cs="Arial"/>
                <w:sz w:val="20"/>
                <w:szCs w:val="20"/>
                <w:lang w:val="en-US"/>
              </w:rPr>
            </w:pPr>
          </w:p>
        </w:tc>
        <w:tc>
          <w:tcPr>
            <w:tcW w:w="5529" w:type="dxa"/>
          </w:tcPr>
          <w:p w14:paraId="1B4F3AEB" w14:textId="592BAE5A"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BSW LMNS Midwife</w:t>
            </w:r>
            <w:r>
              <w:rPr>
                <w:rFonts w:ascii="Arial" w:hAnsi="Arial" w:cs="Arial"/>
                <w:sz w:val="20"/>
                <w:szCs w:val="20"/>
              </w:rPr>
              <w:br/>
            </w:r>
            <w:r w:rsidRPr="00EB1F4C">
              <w:rPr>
                <w:rFonts w:ascii="Arial" w:hAnsi="Arial" w:cs="Arial"/>
                <w:sz w:val="20"/>
                <w:szCs w:val="20"/>
              </w:rPr>
              <w:t>NHS Bath and North East Somerset, Swindon and Wiltshire Integrated Care Board (ICB)</w:t>
            </w:r>
          </w:p>
        </w:tc>
        <w:tc>
          <w:tcPr>
            <w:tcW w:w="1417" w:type="dxa"/>
            <w:vMerge/>
          </w:tcPr>
          <w:p w14:paraId="2084566D" w14:textId="77777777" w:rsidR="00B64921" w:rsidRPr="00EB1F4C" w:rsidRDefault="00B64921" w:rsidP="0012134D">
            <w:pPr>
              <w:spacing w:after="0" w:line="240" w:lineRule="auto"/>
              <w:rPr>
                <w:rFonts w:ascii="Arial" w:hAnsi="Arial" w:cs="Arial"/>
                <w:sz w:val="20"/>
                <w:szCs w:val="20"/>
              </w:rPr>
            </w:pPr>
          </w:p>
        </w:tc>
      </w:tr>
      <w:tr w:rsidR="00B64921" w:rsidRPr="00EB1F4C" w14:paraId="50CA2407" w14:textId="0FF45E01" w:rsidTr="00B64921">
        <w:trPr>
          <w:trHeight w:val="267"/>
        </w:trPr>
        <w:tc>
          <w:tcPr>
            <w:tcW w:w="2268" w:type="dxa"/>
          </w:tcPr>
          <w:p w14:paraId="54E26C46" w14:textId="7BCC8A48"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Trixie McAree</w:t>
            </w:r>
          </w:p>
        </w:tc>
        <w:tc>
          <w:tcPr>
            <w:tcW w:w="5529" w:type="dxa"/>
          </w:tcPr>
          <w:p w14:paraId="0D60AC99"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National Midwifery Lead for Continuity of Carer, National Clinical Advisor, (Midwifery), Choice and Personalisation.</w:t>
            </w:r>
          </w:p>
        </w:tc>
        <w:tc>
          <w:tcPr>
            <w:tcW w:w="1417" w:type="dxa"/>
            <w:vMerge/>
          </w:tcPr>
          <w:p w14:paraId="2CC70E01" w14:textId="77777777" w:rsidR="00B64921" w:rsidRPr="00EB1F4C" w:rsidRDefault="00B64921" w:rsidP="0012134D">
            <w:pPr>
              <w:spacing w:after="0" w:line="240" w:lineRule="auto"/>
              <w:rPr>
                <w:rFonts w:ascii="Arial" w:hAnsi="Arial" w:cs="Arial"/>
                <w:sz w:val="20"/>
                <w:szCs w:val="20"/>
              </w:rPr>
            </w:pPr>
          </w:p>
        </w:tc>
      </w:tr>
      <w:tr w:rsidR="00B64921" w:rsidRPr="00EB1F4C" w14:paraId="2AE9A7E7" w14:textId="6B70F455" w:rsidTr="00B64921">
        <w:trPr>
          <w:trHeight w:val="267"/>
        </w:trPr>
        <w:tc>
          <w:tcPr>
            <w:tcW w:w="2268" w:type="dxa"/>
          </w:tcPr>
          <w:p w14:paraId="75D4EE17"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Verena Wallace</w:t>
            </w:r>
          </w:p>
        </w:tc>
        <w:tc>
          <w:tcPr>
            <w:tcW w:w="5529" w:type="dxa"/>
          </w:tcPr>
          <w:p w14:paraId="04BEE87D"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Senior Midwifery Adviser (Policy), Nursing and Midwifery Council</w:t>
            </w:r>
          </w:p>
        </w:tc>
        <w:tc>
          <w:tcPr>
            <w:tcW w:w="1417" w:type="dxa"/>
            <w:vMerge/>
          </w:tcPr>
          <w:p w14:paraId="675A5504" w14:textId="77777777" w:rsidR="00B64921" w:rsidRPr="00EB1F4C" w:rsidRDefault="00B64921" w:rsidP="0012134D">
            <w:pPr>
              <w:spacing w:after="0" w:line="240" w:lineRule="auto"/>
              <w:rPr>
                <w:rFonts w:ascii="Arial" w:hAnsi="Arial" w:cs="Arial"/>
                <w:sz w:val="20"/>
                <w:szCs w:val="20"/>
              </w:rPr>
            </w:pPr>
          </w:p>
        </w:tc>
      </w:tr>
      <w:tr w:rsidR="00B64921" w:rsidRPr="00EB1F4C" w14:paraId="11197D7C" w14:textId="0F7C6946" w:rsidTr="00B64921">
        <w:trPr>
          <w:trHeight w:val="267"/>
        </w:trPr>
        <w:tc>
          <w:tcPr>
            <w:tcW w:w="2268" w:type="dxa"/>
          </w:tcPr>
          <w:p w14:paraId="60DB0E00"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William Rial</w:t>
            </w:r>
          </w:p>
        </w:tc>
        <w:tc>
          <w:tcPr>
            <w:tcW w:w="5529" w:type="dxa"/>
          </w:tcPr>
          <w:p w14:paraId="4EB501F9"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Regional Chief Pharmacist for East of England, NHS England</w:t>
            </w:r>
          </w:p>
        </w:tc>
        <w:tc>
          <w:tcPr>
            <w:tcW w:w="1417" w:type="dxa"/>
            <w:vMerge/>
          </w:tcPr>
          <w:p w14:paraId="32DF6EB5" w14:textId="77777777" w:rsidR="00B64921" w:rsidRPr="00EB1F4C" w:rsidRDefault="00B64921" w:rsidP="0012134D">
            <w:pPr>
              <w:spacing w:after="0" w:line="240" w:lineRule="auto"/>
              <w:rPr>
                <w:rFonts w:ascii="Arial" w:hAnsi="Arial" w:cs="Arial"/>
                <w:sz w:val="20"/>
                <w:szCs w:val="20"/>
              </w:rPr>
            </w:pPr>
          </w:p>
        </w:tc>
      </w:tr>
      <w:tr w:rsidR="00B64921" w:rsidRPr="00EB1F4C" w14:paraId="26CD2268" w14:textId="40A6EC26" w:rsidTr="00B64921">
        <w:trPr>
          <w:trHeight w:val="267"/>
        </w:trPr>
        <w:tc>
          <w:tcPr>
            <w:tcW w:w="2268" w:type="dxa"/>
          </w:tcPr>
          <w:p w14:paraId="19EFB13A" w14:textId="77777777"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Zoë van Zuylen </w:t>
            </w:r>
          </w:p>
        </w:tc>
        <w:tc>
          <w:tcPr>
            <w:tcW w:w="5529" w:type="dxa"/>
          </w:tcPr>
          <w:p w14:paraId="00F73587" w14:textId="2826A0B9" w:rsidR="00B64921" w:rsidRPr="00EB1F4C" w:rsidRDefault="00B64921" w:rsidP="0012134D">
            <w:pPr>
              <w:spacing w:after="0" w:line="240" w:lineRule="auto"/>
              <w:rPr>
                <w:rFonts w:ascii="Arial" w:hAnsi="Arial" w:cs="Arial"/>
                <w:sz w:val="20"/>
                <w:szCs w:val="20"/>
              </w:rPr>
            </w:pPr>
            <w:r w:rsidRPr="00EB1F4C">
              <w:rPr>
                <w:rFonts w:ascii="Arial" w:hAnsi="Arial" w:cs="Arial"/>
                <w:sz w:val="20"/>
                <w:szCs w:val="20"/>
              </w:rPr>
              <w:t xml:space="preserve">Lead Women and Neonatal Pharmacist, </w:t>
            </w:r>
            <w:r>
              <w:rPr>
                <w:rFonts w:ascii="Arial" w:hAnsi="Arial" w:cs="Arial"/>
                <w:sz w:val="20"/>
                <w:szCs w:val="20"/>
              </w:rPr>
              <w:br/>
            </w:r>
            <w:r w:rsidRPr="00EB1F4C">
              <w:rPr>
                <w:rFonts w:ascii="Arial" w:hAnsi="Arial" w:cs="Arial"/>
                <w:sz w:val="20"/>
                <w:szCs w:val="20"/>
              </w:rPr>
              <w:t xml:space="preserve">Imperial College Healthcare NHS Trust </w:t>
            </w:r>
          </w:p>
        </w:tc>
        <w:tc>
          <w:tcPr>
            <w:tcW w:w="1417" w:type="dxa"/>
            <w:vMerge/>
          </w:tcPr>
          <w:p w14:paraId="5EBE31D7" w14:textId="77777777" w:rsidR="00B64921" w:rsidRPr="00EB1F4C" w:rsidRDefault="00B64921" w:rsidP="0012134D">
            <w:pPr>
              <w:spacing w:after="0" w:line="240" w:lineRule="auto"/>
              <w:rPr>
                <w:rFonts w:ascii="Arial" w:hAnsi="Arial" w:cs="Arial"/>
                <w:sz w:val="20"/>
                <w:szCs w:val="20"/>
              </w:rPr>
            </w:pPr>
          </w:p>
        </w:tc>
      </w:tr>
      <w:bookmarkEnd w:id="4"/>
    </w:tbl>
    <w:p w14:paraId="26ADC9A0" w14:textId="77777777" w:rsidR="00543786" w:rsidRDefault="00543786" w:rsidP="0012134D">
      <w:pPr>
        <w:spacing w:after="0" w:line="240" w:lineRule="auto"/>
        <w:jc w:val="both"/>
        <w:rPr>
          <w:rFonts w:ascii="Arial" w:hAnsi="Arial" w:cs="Arial"/>
          <w:b/>
          <w:highlight w:val="yellow"/>
          <w:lang w:val="en"/>
        </w:rPr>
      </w:pPr>
    </w:p>
    <w:p w14:paraId="741CB5EF" w14:textId="77777777" w:rsidR="0078141A" w:rsidRDefault="0078141A" w:rsidP="0012134D">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0C7C79DE" w14:textId="77777777" w:rsidR="00D10926" w:rsidRDefault="00D10926" w:rsidP="0012134D">
      <w:pPr>
        <w:spacing w:after="0" w:line="240" w:lineRule="auto"/>
        <w:jc w:val="both"/>
        <w:rPr>
          <w:rFonts w:ascii="Arial" w:hAnsi="Arial" w:cs="Arial"/>
          <w:b/>
          <w:lang w:val="en"/>
        </w:rPr>
      </w:pPr>
    </w:p>
    <w:p w14:paraId="325182AE" w14:textId="77777777" w:rsidR="00EB1F4C" w:rsidRDefault="00EB1F4C" w:rsidP="0012134D">
      <w:pPr>
        <w:spacing w:after="0" w:line="240" w:lineRule="auto"/>
        <w:jc w:val="both"/>
        <w:rPr>
          <w:rFonts w:ascii="Arial" w:hAnsi="Arial" w:cs="Arial"/>
          <w:b/>
        </w:rPr>
      </w:pPr>
    </w:p>
    <w:p w14:paraId="67D0A3A4" w14:textId="77777777" w:rsidR="00EB1F4C" w:rsidRDefault="00EB1F4C" w:rsidP="0012134D">
      <w:pPr>
        <w:spacing w:after="0" w:line="240" w:lineRule="auto"/>
        <w:jc w:val="both"/>
        <w:rPr>
          <w:rFonts w:ascii="Arial" w:hAnsi="Arial" w:cs="Arial"/>
          <w:b/>
        </w:rPr>
      </w:pPr>
    </w:p>
    <w:p w14:paraId="304954AE" w14:textId="77777777" w:rsidR="00EB1F4C" w:rsidRDefault="00EB1F4C" w:rsidP="0012134D">
      <w:pPr>
        <w:spacing w:after="0" w:line="240" w:lineRule="auto"/>
        <w:jc w:val="both"/>
        <w:rPr>
          <w:rFonts w:ascii="Arial" w:hAnsi="Arial" w:cs="Arial"/>
          <w:b/>
        </w:rPr>
      </w:pPr>
    </w:p>
    <w:p w14:paraId="1E5BE20A" w14:textId="1AA073D5" w:rsidR="0078141A" w:rsidRPr="0078141A" w:rsidRDefault="00B64921" w:rsidP="0012134D">
      <w:pPr>
        <w:spacing w:after="0" w:line="240" w:lineRule="auto"/>
        <w:jc w:val="both"/>
        <w:rPr>
          <w:rFonts w:ascii="Arial" w:hAnsi="Arial" w:cs="Arial"/>
          <w:b/>
          <w:highlight w:val="yellow"/>
        </w:rPr>
      </w:pPr>
      <w:r>
        <w:rPr>
          <w:rFonts w:ascii="Arial" w:hAnsi="Arial" w:cs="Arial"/>
          <w:b/>
        </w:rPr>
        <w:br w:type="page"/>
      </w:r>
      <w:r w:rsidR="0078141A" w:rsidRPr="0078141A">
        <w:rPr>
          <w:rFonts w:ascii="Arial" w:hAnsi="Arial" w:cs="Arial"/>
          <w:b/>
        </w:rPr>
        <w:lastRenderedPageBreak/>
        <w:t xml:space="preserve">ORGANISATIONAL AUTHORISATIONS </w:t>
      </w:r>
      <w:r w:rsidR="0078141A" w:rsidRPr="0078141A">
        <w:rPr>
          <w:rFonts w:ascii="Arial" w:hAnsi="Arial" w:cs="Arial"/>
          <w:b/>
          <w:highlight w:val="yellow"/>
        </w:rPr>
        <w:t>AND OTHER LEGAL REQUIREMENTS</w:t>
      </w:r>
    </w:p>
    <w:p w14:paraId="45FB4970" w14:textId="77777777" w:rsidR="0078141A" w:rsidRPr="0078141A" w:rsidRDefault="0078141A" w:rsidP="0012134D">
      <w:pPr>
        <w:spacing w:after="0" w:line="240" w:lineRule="auto"/>
        <w:jc w:val="both"/>
        <w:rPr>
          <w:rFonts w:ascii="Arial" w:hAnsi="Arial" w:cs="Arial"/>
          <w:b/>
          <w:highlight w:val="yellow"/>
        </w:rPr>
      </w:pPr>
    </w:p>
    <w:p w14:paraId="543D232E" w14:textId="77777777" w:rsidR="0078141A" w:rsidRPr="0078141A" w:rsidRDefault="0078141A" w:rsidP="0012134D">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487B7F37" w14:textId="77777777" w:rsidR="0078141A" w:rsidRPr="0078141A" w:rsidRDefault="0078141A" w:rsidP="0012134D">
      <w:pPr>
        <w:spacing w:after="0" w:line="240" w:lineRule="auto"/>
        <w:jc w:val="both"/>
        <w:rPr>
          <w:rFonts w:ascii="Arial" w:hAnsi="Arial" w:cs="Arial"/>
          <w:b/>
          <w:highlight w:val="yellow"/>
        </w:rPr>
      </w:pPr>
    </w:p>
    <w:p w14:paraId="44CC4336" w14:textId="77777777" w:rsidR="0078141A" w:rsidRPr="0078141A" w:rsidRDefault="0078141A" w:rsidP="0012134D">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6B3B4D79" w14:textId="77777777" w:rsidR="0078141A" w:rsidRPr="0078141A" w:rsidRDefault="0078141A" w:rsidP="0012134D">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9"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5D181982" w14:textId="77777777" w:rsidR="0078141A" w:rsidRPr="0078141A" w:rsidRDefault="0078141A" w:rsidP="0012134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390FE1" w14:paraId="6F0C19AD"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097887E" w14:textId="77777777" w:rsidR="0078141A" w:rsidRPr="0078141A" w:rsidRDefault="0078141A" w:rsidP="0012134D">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05BEB57" w14:textId="77777777" w:rsidR="0078141A" w:rsidRPr="0078141A" w:rsidRDefault="0078141A" w:rsidP="0012134D">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16050D4" w14:textId="77777777" w:rsidR="0078141A" w:rsidRPr="0078141A" w:rsidRDefault="0078141A" w:rsidP="0012134D">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709D3B9" w14:textId="77777777" w:rsidR="0078141A" w:rsidRPr="0078141A" w:rsidRDefault="0078141A" w:rsidP="0012134D">
            <w:pPr>
              <w:keepNext/>
              <w:spacing w:after="0" w:line="240" w:lineRule="auto"/>
              <w:rPr>
                <w:rFonts w:ascii="Arial" w:hAnsi="Arial"/>
                <w:b/>
                <w:bCs/>
                <w:lang w:val="en-US"/>
              </w:rPr>
            </w:pPr>
            <w:r w:rsidRPr="0078141A">
              <w:rPr>
                <w:rFonts w:ascii="Arial" w:hAnsi="Arial"/>
                <w:b/>
                <w:bCs/>
                <w:lang w:val="en-US"/>
              </w:rPr>
              <w:t>Date</w:t>
            </w:r>
          </w:p>
        </w:tc>
      </w:tr>
      <w:tr w:rsidR="00390FE1" w14:paraId="007E4668"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E41E7E7" w14:textId="77777777" w:rsidR="0078141A" w:rsidRPr="0078141A" w:rsidRDefault="0078141A" w:rsidP="0012134D">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6A4BAF" w14:textId="77777777" w:rsidR="0078141A" w:rsidRPr="0078141A" w:rsidRDefault="0078141A" w:rsidP="0012134D">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E625FB" w14:textId="77777777" w:rsidR="0078141A" w:rsidRPr="0078141A" w:rsidRDefault="0078141A" w:rsidP="0012134D">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4BEADF" w14:textId="77777777" w:rsidR="0078141A" w:rsidRPr="0078141A" w:rsidRDefault="0078141A" w:rsidP="0012134D">
            <w:pPr>
              <w:keepNext/>
              <w:spacing w:after="0" w:line="240" w:lineRule="auto"/>
              <w:rPr>
                <w:rFonts w:ascii="Arial" w:hAnsi="Arial"/>
                <w:lang w:val="en-US"/>
              </w:rPr>
            </w:pPr>
          </w:p>
        </w:tc>
      </w:tr>
      <w:tr w:rsidR="00390FE1" w14:paraId="7D4C018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75FABA6" w14:textId="77777777" w:rsidR="0078141A" w:rsidRPr="0078141A" w:rsidRDefault="0078141A" w:rsidP="0012134D">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48A4B1" w14:textId="77777777" w:rsidR="0078141A" w:rsidRPr="0078141A" w:rsidRDefault="0078141A" w:rsidP="0012134D">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E31825" w14:textId="77777777" w:rsidR="0078141A" w:rsidRPr="0078141A" w:rsidRDefault="0078141A" w:rsidP="0012134D">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220CA5" w14:textId="77777777" w:rsidR="0078141A" w:rsidRPr="0078141A" w:rsidRDefault="0078141A" w:rsidP="0012134D">
            <w:pPr>
              <w:keepNext/>
              <w:spacing w:after="0" w:line="240" w:lineRule="auto"/>
              <w:rPr>
                <w:rFonts w:ascii="Arial" w:hAnsi="Arial"/>
                <w:lang w:val="en-US"/>
              </w:rPr>
            </w:pPr>
          </w:p>
        </w:tc>
      </w:tr>
      <w:tr w:rsidR="00390FE1" w14:paraId="6CA81230"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7E3DEAD" w14:textId="77777777" w:rsidR="0078141A" w:rsidRPr="0078141A" w:rsidRDefault="0078141A" w:rsidP="0012134D">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E28112" w14:textId="77777777" w:rsidR="0078141A" w:rsidRPr="0078141A" w:rsidRDefault="0078141A" w:rsidP="0012134D">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E4A6F" w14:textId="77777777" w:rsidR="0078141A" w:rsidRPr="0078141A" w:rsidRDefault="0078141A" w:rsidP="0012134D">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FA5553" w14:textId="77777777" w:rsidR="0078141A" w:rsidRPr="0078141A" w:rsidRDefault="0078141A" w:rsidP="0012134D">
            <w:pPr>
              <w:keepNext/>
              <w:spacing w:after="0" w:line="240" w:lineRule="auto"/>
              <w:rPr>
                <w:rFonts w:ascii="Arial" w:hAnsi="Arial"/>
                <w:lang w:val="en-US"/>
              </w:rPr>
            </w:pPr>
          </w:p>
        </w:tc>
      </w:tr>
      <w:tr w:rsidR="00390FE1" w14:paraId="12561854"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6CEAEC2" w14:textId="77777777" w:rsidR="0078141A" w:rsidRPr="0078141A" w:rsidRDefault="0078141A" w:rsidP="0012134D">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0"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12EA92" w14:textId="77777777" w:rsidR="0078141A" w:rsidRPr="0078141A" w:rsidRDefault="0078141A" w:rsidP="0012134D">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DAF50" w14:textId="77777777" w:rsidR="0078141A" w:rsidRPr="0078141A" w:rsidRDefault="0078141A" w:rsidP="0012134D">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FB8CD2" w14:textId="77777777" w:rsidR="0078141A" w:rsidRPr="0078141A" w:rsidRDefault="0078141A" w:rsidP="0012134D">
            <w:pPr>
              <w:keepNext/>
              <w:spacing w:after="0" w:line="240" w:lineRule="auto"/>
              <w:rPr>
                <w:rFonts w:ascii="Arial" w:hAnsi="Arial"/>
                <w:lang w:val="en-US"/>
              </w:rPr>
            </w:pPr>
          </w:p>
        </w:tc>
      </w:tr>
    </w:tbl>
    <w:p w14:paraId="42D549F3" w14:textId="77777777" w:rsidR="0012134D" w:rsidRDefault="0012134D" w:rsidP="0012134D">
      <w:pPr>
        <w:spacing w:after="0" w:line="240" w:lineRule="auto"/>
        <w:jc w:val="both"/>
        <w:rPr>
          <w:rFonts w:ascii="Arial" w:hAnsi="Arial" w:cs="Arial"/>
          <w:highlight w:val="yellow"/>
        </w:rPr>
      </w:pPr>
    </w:p>
    <w:p w14:paraId="0BEFFF4C" w14:textId="18885FF0" w:rsidR="0078141A" w:rsidRDefault="00404955" w:rsidP="0012134D">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32970F0A" w14:textId="77777777" w:rsidR="0012134D" w:rsidRPr="0078141A" w:rsidRDefault="0012134D" w:rsidP="0012134D">
      <w:pPr>
        <w:spacing w:after="0" w:line="240" w:lineRule="auto"/>
        <w:jc w:val="both"/>
        <w:rPr>
          <w:rFonts w:ascii="Arial" w:hAnsi="Arial" w:cs="Arial"/>
          <w:highlight w:val="yellow"/>
        </w:rPr>
      </w:pPr>
    </w:p>
    <w:p w14:paraId="1121C39B" w14:textId="77777777" w:rsidR="0048490B" w:rsidRPr="0048490B" w:rsidRDefault="0048490B" w:rsidP="0012134D">
      <w:pPr>
        <w:spacing w:after="0" w:line="240" w:lineRule="auto"/>
        <w:jc w:val="both"/>
        <w:rPr>
          <w:rFonts w:ascii="Arial" w:hAnsi="Arial" w:cs="Arial"/>
          <w:highlight w:val="yellow"/>
        </w:rPr>
      </w:pPr>
      <w:r w:rsidRPr="0048490B">
        <w:rPr>
          <w:rFonts w:ascii="Arial" w:hAnsi="Arial" w:cs="Arial"/>
          <w:highlight w:val="yellow"/>
        </w:rPr>
        <w:t xml:space="preserve">Authorising organisations must retain an Individual Practitioner Authorisation sheet, List of Authorised Practitioners or equivalent record of those authorised to operate under this PGD. This varies according to local policy and how the service is managed – it can be maintained physically or electronically according to local policy. An example is given in Appendix A.  </w:t>
      </w:r>
    </w:p>
    <w:p w14:paraId="5759BF3D" w14:textId="77777777" w:rsidR="0048490B" w:rsidRPr="0048490B" w:rsidRDefault="0048490B" w:rsidP="0012134D">
      <w:pPr>
        <w:spacing w:after="0" w:line="240" w:lineRule="auto"/>
        <w:jc w:val="both"/>
        <w:rPr>
          <w:rFonts w:ascii="Arial" w:hAnsi="Arial" w:cs="Arial"/>
          <w:highlight w:val="yellow"/>
        </w:rPr>
      </w:pPr>
    </w:p>
    <w:p w14:paraId="290A6E43" w14:textId="77777777" w:rsidR="0048490B" w:rsidRPr="0048490B" w:rsidRDefault="0048490B" w:rsidP="0012134D">
      <w:pPr>
        <w:spacing w:after="0" w:line="240" w:lineRule="auto"/>
        <w:jc w:val="both"/>
        <w:rPr>
          <w:rFonts w:ascii="Arial" w:hAnsi="Arial" w:cs="Arial"/>
          <w:highlight w:val="yellow"/>
        </w:rPr>
      </w:pPr>
      <w:r w:rsidRPr="0048490B">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medication(s) listed only in accordance with the PGD. </w:t>
      </w:r>
    </w:p>
    <w:p w14:paraId="1034D7C9" w14:textId="77777777" w:rsidR="0078141A" w:rsidRPr="0078141A" w:rsidRDefault="0078141A" w:rsidP="0012134D">
      <w:pPr>
        <w:spacing w:after="0" w:line="240" w:lineRule="auto"/>
        <w:jc w:val="both"/>
        <w:rPr>
          <w:rFonts w:ascii="Arial" w:hAnsi="Arial" w:cs="Arial"/>
          <w:highlight w:val="yellow"/>
        </w:rPr>
      </w:pPr>
    </w:p>
    <w:p w14:paraId="5646EC85" w14:textId="77777777" w:rsidR="0078141A" w:rsidRPr="0078141A" w:rsidRDefault="0078141A" w:rsidP="0012134D">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79EC947D" w14:textId="77777777" w:rsidR="0078141A" w:rsidRPr="0078141A" w:rsidRDefault="0078141A" w:rsidP="0012134D">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04096804" w14:textId="77777777" w:rsidR="0078141A" w:rsidRPr="0078141A" w:rsidRDefault="0078141A" w:rsidP="0012134D">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7E80471" w14:textId="77777777" w:rsidR="0078141A" w:rsidRPr="00A03890" w:rsidRDefault="0078141A" w:rsidP="0012134D">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1AFF5C96" w14:textId="77777777" w:rsidR="00A03890" w:rsidRPr="0078141A" w:rsidRDefault="00A03890" w:rsidP="0012134D">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7F085D55" w14:textId="77777777" w:rsidR="0012134D" w:rsidRDefault="0012134D" w:rsidP="0012134D">
      <w:pPr>
        <w:keepNext/>
        <w:spacing w:after="0" w:line="240" w:lineRule="auto"/>
        <w:jc w:val="both"/>
        <w:outlineLvl w:val="0"/>
        <w:rPr>
          <w:rFonts w:ascii="Arial" w:hAnsi="Arial"/>
          <w:bCs/>
          <w:kern w:val="28"/>
          <w:highlight w:val="yellow"/>
        </w:rPr>
      </w:pPr>
    </w:p>
    <w:p w14:paraId="518FB1F2" w14:textId="6828C487" w:rsidR="00234A16" w:rsidRPr="007A1448" w:rsidRDefault="00AE6867" w:rsidP="0012134D">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F16D76">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5" w:name="Table2"/>
    </w:p>
    <w:bookmarkEnd w:id="5"/>
    <w:p w14:paraId="10AA6762" w14:textId="2304B217" w:rsidR="00476876" w:rsidRDefault="00476876" w:rsidP="0012134D">
      <w:pPr>
        <w:spacing w:after="0" w:line="240" w:lineRule="auto"/>
      </w:pPr>
    </w:p>
    <w:p w14:paraId="1DC288CF" w14:textId="77777777" w:rsidR="00E136C7" w:rsidRPr="00F75ABC" w:rsidRDefault="00E136C7" w:rsidP="0012134D">
      <w:pPr>
        <w:spacing w:after="0" w:line="240" w:lineRule="auto"/>
      </w:pPr>
    </w:p>
    <w:p w14:paraId="744CE59A" w14:textId="216E6425" w:rsidR="00D10926" w:rsidRPr="00E136C7" w:rsidRDefault="0012134D" w:rsidP="00E136C7">
      <w:pPr>
        <w:pStyle w:val="ListParagraph"/>
        <w:numPr>
          <w:ilvl w:val="0"/>
          <w:numId w:val="49"/>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E136C7">
        <w:rPr>
          <w:rFonts w:ascii="Arial" w:hAnsi="Arial" w:cs="Arial"/>
          <w:b/>
        </w:rPr>
        <w:lastRenderedPageBreak/>
        <w:t>C</w:t>
      </w:r>
      <w:r w:rsidR="00D10926" w:rsidRPr="00E136C7">
        <w:rPr>
          <w:rFonts w:ascii="Arial" w:hAnsi="Arial" w:cs="Arial"/>
          <w:b/>
        </w:rPr>
        <w:t>haracteristics of staff</w:t>
      </w:r>
    </w:p>
    <w:p w14:paraId="45113E54" w14:textId="77777777" w:rsidR="00D10926" w:rsidRPr="00D10926" w:rsidRDefault="00D10926" w:rsidP="0012134D">
      <w:pPr>
        <w:overflowPunct w:val="0"/>
        <w:autoSpaceDE w:val="0"/>
        <w:autoSpaceDN w:val="0"/>
        <w:adjustRightInd w:val="0"/>
        <w:spacing w:after="0" w:line="240" w:lineRule="auto"/>
        <w:contextualSpacing/>
        <w:textAlignment w:val="baseline"/>
        <w:rPr>
          <w:rFonts w:ascii="Arial" w:hAnsi="Arial"/>
        </w:rPr>
      </w:pPr>
    </w:p>
    <w:p w14:paraId="4191003F" w14:textId="77777777" w:rsidR="00D10926" w:rsidRPr="00D10926" w:rsidRDefault="00D10926" w:rsidP="0012134D">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390FE1" w14:paraId="5555C4CA"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72C341A8" w14:textId="77777777" w:rsidR="00D6554B" w:rsidRPr="00D10926" w:rsidRDefault="00D6554B" w:rsidP="0012134D">
            <w:pPr>
              <w:keepNext/>
              <w:spacing w:after="0" w:line="240" w:lineRule="auto"/>
              <w:rPr>
                <w:rFonts w:ascii="Arial" w:hAnsi="Arial"/>
                <w:b/>
                <w:bCs/>
              </w:rPr>
            </w:pPr>
            <w:r w:rsidRPr="00D10926">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7BAC2E4" w14:textId="77777777" w:rsidR="00D6554B" w:rsidRDefault="001213BA" w:rsidP="0012134D">
            <w:pPr>
              <w:pStyle w:val="Default"/>
              <w:rPr>
                <w:rFonts w:ascii="Arial" w:eastAsia="Arial" w:hAnsi="Arial" w:cs="Arial"/>
                <w:sz w:val="22"/>
                <w:szCs w:val="22"/>
              </w:rPr>
            </w:pPr>
            <w:r w:rsidRPr="001213BA">
              <w:rPr>
                <w:rFonts w:ascii="Arial" w:eastAsia="Arial" w:hAnsi="Arial" w:cs="Arial"/>
                <w:sz w:val="22"/>
                <w:szCs w:val="22"/>
              </w:rPr>
              <w:t>Current contract of employment within an NHS commissioned service or an NHS Trust/Health Board/NHS organisation.</w:t>
            </w:r>
          </w:p>
          <w:p w14:paraId="62D37E37" w14:textId="77777777" w:rsidR="001213BA" w:rsidRPr="00D6554B" w:rsidRDefault="001213BA" w:rsidP="0012134D">
            <w:pPr>
              <w:pStyle w:val="Default"/>
              <w:rPr>
                <w:rFonts w:ascii="Arial" w:eastAsia="Arial" w:hAnsi="Arial" w:cs="Arial"/>
                <w:sz w:val="22"/>
                <w:szCs w:val="22"/>
              </w:rPr>
            </w:pPr>
          </w:p>
          <w:p w14:paraId="669DF891" w14:textId="77777777" w:rsidR="00D6554B" w:rsidRPr="00D6554B" w:rsidRDefault="00A83393" w:rsidP="0012134D">
            <w:pPr>
              <w:pStyle w:val="Default"/>
              <w:rPr>
                <w:rFonts w:ascii="Arial" w:eastAsia="Arial" w:hAnsi="Arial" w:cs="Arial"/>
              </w:rPr>
            </w:pPr>
            <w:hyperlink r:id="rId11" w:history="1">
              <w:r w:rsidR="00D6554B" w:rsidRPr="00430457">
                <w:rPr>
                  <w:rStyle w:val="Hyperlink"/>
                  <w:rFonts w:ascii="Arial" w:eastAsia="Arial" w:hAnsi="Arial" w:cs="Arial"/>
                  <w:sz w:val="22"/>
                  <w:szCs w:val="22"/>
                </w:rPr>
                <w:t>Registered healthcare professional listed in the legislation</w:t>
              </w:r>
            </w:hyperlink>
            <w:r w:rsidR="00D6554B" w:rsidRPr="00D6554B">
              <w:rPr>
                <w:rFonts w:ascii="Arial" w:eastAsia="Arial" w:hAnsi="Arial" w:cs="Arial"/>
                <w:sz w:val="22"/>
                <w:szCs w:val="22"/>
              </w:rPr>
              <w:t xml:space="preserve"> as able to practice under Patient Group Directions.  </w:t>
            </w:r>
          </w:p>
        </w:tc>
      </w:tr>
      <w:tr w:rsidR="00390FE1" w14:paraId="2F8248F9"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566B6BB9" w14:textId="77777777" w:rsidR="00D6554B" w:rsidRPr="00D10926" w:rsidRDefault="00D6554B" w:rsidP="0012134D">
            <w:pPr>
              <w:keepNext/>
              <w:spacing w:after="0" w:line="240" w:lineRule="auto"/>
              <w:rPr>
                <w:rFonts w:ascii="Arial" w:hAnsi="Arial"/>
                <w:b/>
                <w:bCs/>
              </w:rPr>
            </w:pPr>
            <w:r w:rsidRPr="00D10926">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2107916" w14:textId="77777777" w:rsidR="00D6554B" w:rsidRPr="00D6554B" w:rsidRDefault="00D6554B" w:rsidP="0012134D">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7D023BDF" w14:textId="77777777" w:rsidR="00D6554B" w:rsidRPr="00D6554B" w:rsidRDefault="00D6554B" w:rsidP="0012134D">
            <w:pPr>
              <w:pStyle w:val="Default"/>
              <w:rPr>
                <w:rFonts w:ascii="Arial" w:hAnsi="Arial" w:cs="Arial"/>
                <w:sz w:val="22"/>
                <w:szCs w:val="23"/>
              </w:rPr>
            </w:pPr>
          </w:p>
          <w:p w14:paraId="59BFD604" w14:textId="77777777" w:rsidR="00D6554B" w:rsidRPr="00D6554B" w:rsidRDefault="00D6554B" w:rsidP="0012134D">
            <w:pPr>
              <w:pStyle w:val="Default"/>
              <w:rPr>
                <w:rFonts w:ascii="Arial" w:hAnsi="Arial" w:cs="Arial"/>
                <w:sz w:val="22"/>
                <w:szCs w:val="23"/>
              </w:rPr>
            </w:pPr>
            <w:r w:rsidRPr="005B2595">
              <w:rPr>
                <w:rFonts w:ascii="Arial" w:hAnsi="Arial" w:cs="Arial"/>
                <w:sz w:val="22"/>
                <w:szCs w:val="23"/>
              </w:rPr>
              <w:t xml:space="preserve">Recommended requirement for training would be successful completion of a relevant module/course accredited or endorsed by </w:t>
            </w:r>
            <w:r w:rsidR="005256FA" w:rsidRPr="005B2595">
              <w:rPr>
                <w:rFonts w:ascii="Arial" w:hAnsi="Arial" w:cs="Arial"/>
                <w:sz w:val="22"/>
                <w:szCs w:val="23"/>
              </w:rPr>
              <w:t xml:space="preserve">a </w:t>
            </w:r>
            <w:r w:rsidRPr="005B2595">
              <w:rPr>
                <w:rFonts w:ascii="Arial" w:hAnsi="Arial" w:cs="Arial"/>
                <w:sz w:val="22"/>
                <w:szCs w:val="23"/>
              </w:rPr>
              <w:t>university</w:t>
            </w:r>
            <w:r w:rsidR="00C82649" w:rsidRPr="005B2595">
              <w:rPr>
                <w:rFonts w:ascii="Arial" w:hAnsi="Arial" w:cs="Arial"/>
                <w:sz w:val="22"/>
                <w:szCs w:val="23"/>
              </w:rPr>
              <w:t>,</w:t>
            </w:r>
            <w:r w:rsidRPr="005B2595">
              <w:rPr>
                <w:rFonts w:ascii="Arial" w:hAnsi="Arial" w:cs="Arial"/>
                <w:sz w:val="22"/>
                <w:szCs w:val="23"/>
              </w:rPr>
              <w:t xml:space="preserve"> </w:t>
            </w:r>
            <w:r w:rsidR="00C82649" w:rsidRPr="005B2595">
              <w:rPr>
                <w:rFonts w:ascii="Arial" w:hAnsi="Arial" w:cs="Arial"/>
                <w:sz w:val="22"/>
                <w:szCs w:val="23"/>
              </w:rPr>
              <w:t>Royal College of Midwives (RCM</w:t>
            </w:r>
            <w:r w:rsidR="00A647B5" w:rsidRPr="005B2595">
              <w:rPr>
                <w:rFonts w:ascii="Arial" w:hAnsi="Arial" w:cs="Arial"/>
                <w:sz w:val="22"/>
                <w:szCs w:val="23"/>
              </w:rPr>
              <w:t>) accredited</w:t>
            </w:r>
            <w:r w:rsidR="00C82649" w:rsidRPr="005B2595">
              <w:rPr>
                <w:rFonts w:ascii="Arial" w:hAnsi="Arial" w:cs="Arial"/>
                <w:sz w:val="22"/>
                <w:szCs w:val="23"/>
              </w:rPr>
              <w:t xml:space="preserve"> learning, or locally developed training</w:t>
            </w:r>
            <w:r w:rsidRPr="005B2595">
              <w:rPr>
                <w:rFonts w:ascii="Arial" w:hAnsi="Arial" w:cs="Arial"/>
                <w:sz w:val="22"/>
                <w:szCs w:val="23"/>
              </w:rPr>
              <w:t>.</w:t>
            </w:r>
            <w:r w:rsidRPr="00D6554B">
              <w:rPr>
                <w:rFonts w:ascii="Arial" w:hAnsi="Arial" w:cs="Arial"/>
                <w:sz w:val="22"/>
                <w:szCs w:val="23"/>
              </w:rPr>
              <w:t xml:space="preserve">  </w:t>
            </w:r>
          </w:p>
        </w:tc>
      </w:tr>
      <w:tr w:rsidR="00390FE1" w14:paraId="50DD9288"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3436330D" w14:textId="77777777" w:rsidR="00D6554B" w:rsidRPr="00D10926" w:rsidRDefault="00D6554B" w:rsidP="0012134D">
            <w:pPr>
              <w:keepNext/>
              <w:spacing w:after="0" w:line="240" w:lineRule="auto"/>
              <w:rPr>
                <w:rFonts w:ascii="Arial" w:hAnsi="Arial"/>
                <w:b/>
                <w:bCs/>
              </w:rPr>
            </w:pPr>
            <w:r w:rsidRPr="00D10926">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E515536" w14:textId="77777777" w:rsidR="00D6554B" w:rsidRPr="00EB2298" w:rsidRDefault="00D6554B" w:rsidP="0012134D">
            <w:pPr>
              <w:pStyle w:val="Tabletext"/>
              <w:numPr>
                <w:ilvl w:val="0"/>
                <w:numId w:val="15"/>
              </w:numPr>
              <w:spacing w:after="0"/>
              <w:ind w:left="0" w:firstLine="0"/>
            </w:pPr>
            <w:r>
              <w:t xml:space="preserve">Individuals operating under this PGD must be assessed as competent or complete a self-declaration of competence </w:t>
            </w:r>
            <w:r w:rsidR="005256FA">
              <w:t>to operate under this PGD</w:t>
            </w:r>
            <w:r w:rsidR="00EC4DDC">
              <w:t xml:space="preserve"> </w:t>
            </w:r>
            <w:r w:rsidR="00EC4DDC" w:rsidRPr="00EC4DDC">
              <w:rPr>
                <w:highlight w:val="yellow"/>
              </w:rPr>
              <w:t>(see an example authorisation record sheet in Appendix A)</w:t>
            </w:r>
            <w:r w:rsidRPr="00EC4DDC">
              <w:rPr>
                <w:highlight w:val="yellow"/>
              </w:rPr>
              <w:t>.</w:t>
            </w:r>
          </w:p>
          <w:p w14:paraId="313ECA24" w14:textId="77777777" w:rsidR="00D6554B" w:rsidRPr="00624836" w:rsidRDefault="00D6554B" w:rsidP="0012134D">
            <w:pPr>
              <w:pStyle w:val="Tabletext"/>
              <w:numPr>
                <w:ilvl w:val="0"/>
                <w:numId w:val="15"/>
              </w:numPr>
              <w:spacing w:after="0"/>
              <w:ind w:left="0" w:firstLine="0"/>
              <w:rPr>
                <w:lang w:val="en-GB"/>
              </w:rPr>
            </w:pPr>
            <w:r w:rsidRPr="00624836">
              <w:rPr>
                <w:lang w:val="en-GB"/>
              </w:rPr>
              <w:t>Staff operating under this PGD are encouraged to review their competency using the</w:t>
            </w:r>
            <w:hyperlink r:id="rId12" w:history="1">
              <w:r w:rsidRPr="00624836">
                <w:rPr>
                  <w:rStyle w:val="Hyperlink"/>
                  <w:lang w:val="en-GB"/>
                </w:rPr>
                <w:t xml:space="preserve"> NICE Competency Framework for health professionals using patient group directions</w:t>
              </w:r>
            </w:hyperlink>
          </w:p>
        </w:tc>
      </w:tr>
      <w:tr w:rsidR="00390FE1" w14:paraId="7341B4B4"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5F4B41DF" w14:textId="77777777" w:rsidR="00D6554B" w:rsidRPr="00D10926" w:rsidRDefault="00D6554B" w:rsidP="0012134D">
            <w:pPr>
              <w:keepNext/>
              <w:spacing w:after="0" w:line="240" w:lineRule="auto"/>
              <w:rPr>
                <w:rFonts w:ascii="Arial" w:hAnsi="Arial"/>
                <w:b/>
                <w:bCs/>
              </w:rPr>
            </w:pPr>
            <w:r w:rsidRPr="00D10926">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652AF960" w14:textId="77777777" w:rsidR="00D6554B" w:rsidRDefault="00D6554B" w:rsidP="0012134D">
            <w:pPr>
              <w:pStyle w:val="Tabletext"/>
              <w:numPr>
                <w:ilvl w:val="0"/>
                <w:numId w:val="15"/>
              </w:numPr>
              <w:spacing w:after="0"/>
              <w:ind w:left="0"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3CADD142" w14:textId="77777777" w:rsidR="00D6554B" w:rsidRPr="009702A0" w:rsidRDefault="00D6554B" w:rsidP="0012134D">
            <w:pPr>
              <w:pStyle w:val="Tabletext"/>
              <w:numPr>
                <w:ilvl w:val="0"/>
                <w:numId w:val="15"/>
              </w:numPr>
              <w:spacing w:after="0"/>
              <w:ind w:left="0"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390FE1" w14:paraId="32BD91B1"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3ABE5487" w14:textId="77777777" w:rsidR="00AC6A2F" w:rsidRPr="00D10926" w:rsidRDefault="00D10926" w:rsidP="0012134D">
            <w:pPr>
              <w:keepNext/>
              <w:spacing w:after="0" w:line="240" w:lineRule="auto"/>
              <w:rPr>
                <w:rFonts w:ascii="Arial" w:hAnsi="Arial"/>
              </w:rPr>
            </w:pPr>
            <w:r w:rsidRPr="00D10926">
              <w:rPr>
                <w:rFonts w:ascii="Arial" w:hAnsi="Arial"/>
              </w:rPr>
              <w:t xml:space="preserve">The decision to supply any medication rests with the individual registered health professional who must abide by the PGD and any associated organisational policies.  </w:t>
            </w:r>
          </w:p>
        </w:tc>
      </w:tr>
    </w:tbl>
    <w:p w14:paraId="2D8AF431" w14:textId="77777777" w:rsidR="00D10926" w:rsidRPr="00D10926" w:rsidRDefault="00D10926" w:rsidP="0012134D">
      <w:pPr>
        <w:spacing w:after="0" w:line="240" w:lineRule="auto"/>
        <w:jc w:val="center"/>
        <w:rPr>
          <w:rFonts w:ascii="Arial" w:hAnsi="Arial" w:cs="Arial"/>
          <w:b/>
          <w:sz w:val="2"/>
          <w:szCs w:val="2"/>
        </w:rPr>
      </w:pPr>
      <w:r w:rsidRPr="00D10926">
        <w:rPr>
          <w:rFonts w:ascii="Arial" w:hAnsi="Arial" w:cs="Arial"/>
          <w:b/>
          <w:sz w:val="2"/>
          <w:szCs w:val="2"/>
        </w:rPr>
        <w:br w:type="page"/>
      </w:r>
    </w:p>
    <w:p w14:paraId="46C6BAD1" w14:textId="77777777" w:rsidR="00D10926" w:rsidRPr="00E136C7" w:rsidRDefault="00D10926" w:rsidP="00E136C7">
      <w:pPr>
        <w:pStyle w:val="ListParagraph"/>
        <w:numPr>
          <w:ilvl w:val="0"/>
          <w:numId w:val="49"/>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E136C7">
        <w:rPr>
          <w:rFonts w:ascii="Arial" w:hAnsi="Arial" w:cs="Arial"/>
          <w:b/>
        </w:rPr>
        <w:lastRenderedPageBreak/>
        <w:t>Clinical condition or situation to which this PGD applies</w:t>
      </w:r>
    </w:p>
    <w:p w14:paraId="50F9B48C" w14:textId="77777777" w:rsidR="00D10926" w:rsidRPr="00D10926" w:rsidRDefault="00D10926" w:rsidP="0012134D">
      <w:pPr>
        <w:spacing w:after="0" w:line="240" w:lineRule="auto"/>
        <w:rPr>
          <w:rFonts w:ascii="Arial" w:hAnsi="Arial" w:cs="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390FE1" w14:paraId="0A30877E" w14:textId="77777777" w:rsidTr="003317CA">
        <w:tc>
          <w:tcPr>
            <w:tcW w:w="3403" w:type="dxa"/>
            <w:shd w:val="clear" w:color="auto" w:fill="D9D9D9"/>
          </w:tcPr>
          <w:p w14:paraId="169049C9"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Clinical condition or situation to which this PGD applies</w:t>
            </w:r>
          </w:p>
        </w:tc>
        <w:tc>
          <w:tcPr>
            <w:tcW w:w="6379" w:type="dxa"/>
            <w:shd w:val="clear" w:color="auto" w:fill="auto"/>
          </w:tcPr>
          <w:p w14:paraId="386B5F37" w14:textId="77777777" w:rsidR="000D7528" w:rsidRPr="00557607" w:rsidRDefault="00602DA3" w:rsidP="0012134D">
            <w:pPr>
              <w:overflowPunct w:val="0"/>
              <w:autoSpaceDE w:val="0"/>
              <w:autoSpaceDN w:val="0"/>
              <w:adjustRightInd w:val="0"/>
              <w:spacing w:after="0" w:line="240" w:lineRule="auto"/>
              <w:textAlignment w:val="baseline"/>
              <w:rPr>
                <w:rFonts w:ascii="Arial" w:hAnsi="Arial" w:cs="Arial"/>
              </w:rPr>
            </w:pPr>
            <w:r w:rsidRPr="005B2595">
              <w:rPr>
                <w:rFonts w:ascii="Arial" w:hAnsi="Arial" w:cs="Arial"/>
              </w:rPr>
              <w:t xml:space="preserve">Individuals </w:t>
            </w:r>
            <w:r w:rsidR="009E09C1" w:rsidRPr="005B2595">
              <w:rPr>
                <w:rFonts w:ascii="Arial" w:hAnsi="Arial" w:cs="Arial"/>
              </w:rPr>
              <w:t xml:space="preserve">where there is an </w:t>
            </w:r>
            <w:r w:rsidRPr="005B2595">
              <w:rPr>
                <w:rFonts w:ascii="Arial" w:hAnsi="Arial" w:cs="Arial"/>
              </w:rPr>
              <w:t xml:space="preserve">increased risk of </w:t>
            </w:r>
            <w:r w:rsidR="009E09C1" w:rsidRPr="005B2595">
              <w:rPr>
                <w:rFonts w:ascii="Arial" w:hAnsi="Arial" w:cs="Arial"/>
              </w:rPr>
              <w:t>neural tube defect or where there is a requirement to compensate for the increased demand for folate during pregnancy.</w:t>
            </w:r>
          </w:p>
        </w:tc>
      </w:tr>
      <w:tr w:rsidR="00390FE1" w14:paraId="3311970D" w14:textId="77777777" w:rsidTr="003317CA">
        <w:tc>
          <w:tcPr>
            <w:tcW w:w="3403" w:type="dxa"/>
            <w:shd w:val="clear" w:color="auto" w:fill="D9D9D9"/>
          </w:tcPr>
          <w:p w14:paraId="02CA9D55"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Criteria for inclusion</w:t>
            </w:r>
          </w:p>
        </w:tc>
        <w:tc>
          <w:tcPr>
            <w:tcW w:w="6379" w:type="dxa"/>
            <w:shd w:val="clear" w:color="auto" w:fill="auto"/>
          </w:tcPr>
          <w:p w14:paraId="32026DF7" w14:textId="77777777" w:rsidR="0069351C" w:rsidRDefault="001213BA" w:rsidP="0012134D">
            <w:pPr>
              <w:widowControl w:val="0"/>
              <w:numPr>
                <w:ilvl w:val="0"/>
                <w:numId w:val="38"/>
              </w:numPr>
              <w:overflowPunct w:val="0"/>
              <w:autoSpaceDE w:val="0"/>
              <w:autoSpaceDN w:val="0"/>
              <w:adjustRightInd w:val="0"/>
              <w:spacing w:after="0" w:line="240" w:lineRule="auto"/>
              <w:textAlignment w:val="baseline"/>
              <w:rPr>
                <w:rFonts w:ascii="Arial" w:hAnsi="Arial" w:cs="Arial"/>
              </w:rPr>
            </w:pPr>
            <w:r>
              <w:rPr>
                <w:rFonts w:ascii="Arial" w:hAnsi="Arial" w:cs="Arial"/>
              </w:rPr>
              <w:t>Informed c</w:t>
            </w:r>
            <w:r w:rsidR="000D7528" w:rsidRPr="000D7528">
              <w:rPr>
                <w:rFonts w:ascii="Arial" w:hAnsi="Arial" w:cs="Arial"/>
              </w:rPr>
              <w:t xml:space="preserve">onsent given.  </w:t>
            </w:r>
          </w:p>
          <w:p w14:paraId="22417D64" w14:textId="77777777" w:rsidR="007926BC" w:rsidRPr="007926BC" w:rsidRDefault="007926BC" w:rsidP="0012134D">
            <w:pPr>
              <w:numPr>
                <w:ilvl w:val="0"/>
                <w:numId w:val="38"/>
              </w:numPr>
              <w:spacing w:after="0" w:line="240" w:lineRule="auto"/>
              <w:rPr>
                <w:rFonts w:ascii="Arial" w:hAnsi="Arial" w:cs="Arial"/>
              </w:rPr>
            </w:pPr>
            <w:r w:rsidRPr="007926BC">
              <w:rPr>
                <w:rFonts w:ascii="Arial" w:hAnsi="Arial" w:cs="Arial"/>
              </w:rPr>
              <w:t>For individuals in the following groups to be taken prior to conception (recommended for 3 months prior to conception where possible) and continued throughout the first 12 weeks of pregnancy:</w:t>
            </w:r>
          </w:p>
          <w:p w14:paraId="45743BF2" w14:textId="77777777" w:rsidR="00602DA3" w:rsidRPr="00602DA3" w:rsidRDefault="00602DA3" w:rsidP="0012134D">
            <w:pPr>
              <w:widowControl w:val="0"/>
              <w:numPr>
                <w:ilvl w:val="1"/>
                <w:numId w:val="35"/>
              </w:numPr>
              <w:overflowPunct w:val="0"/>
              <w:autoSpaceDE w:val="0"/>
              <w:autoSpaceDN w:val="0"/>
              <w:adjustRightInd w:val="0"/>
              <w:spacing w:after="0" w:line="240" w:lineRule="auto"/>
              <w:textAlignment w:val="baseline"/>
              <w:rPr>
                <w:rFonts w:ascii="Arial" w:hAnsi="Arial" w:cs="Arial"/>
              </w:rPr>
            </w:pPr>
            <w:r w:rsidRPr="00602DA3">
              <w:rPr>
                <w:rFonts w:ascii="Arial" w:hAnsi="Arial" w:cs="Arial"/>
              </w:rPr>
              <w:t>BMI ≥ 30kg/m</w:t>
            </w:r>
            <w:r w:rsidRPr="00602DA3">
              <w:rPr>
                <w:rFonts w:ascii="Arial" w:hAnsi="Arial" w:cs="Arial"/>
                <w:vertAlign w:val="superscript"/>
              </w:rPr>
              <w:t>2</w:t>
            </w:r>
          </w:p>
          <w:p w14:paraId="172C8BDB" w14:textId="77777777" w:rsidR="00602DA3" w:rsidRPr="00602DA3" w:rsidRDefault="00602DA3" w:rsidP="0012134D">
            <w:pPr>
              <w:widowControl w:val="0"/>
              <w:numPr>
                <w:ilvl w:val="1"/>
                <w:numId w:val="35"/>
              </w:numPr>
              <w:overflowPunct w:val="0"/>
              <w:autoSpaceDE w:val="0"/>
              <w:autoSpaceDN w:val="0"/>
              <w:adjustRightInd w:val="0"/>
              <w:spacing w:after="0" w:line="240" w:lineRule="auto"/>
              <w:textAlignment w:val="baseline"/>
              <w:rPr>
                <w:rFonts w:ascii="Arial" w:hAnsi="Arial" w:cs="Arial"/>
              </w:rPr>
            </w:pPr>
            <w:r w:rsidRPr="00602DA3">
              <w:rPr>
                <w:rFonts w:ascii="Arial" w:hAnsi="Arial" w:cs="Arial"/>
              </w:rPr>
              <w:t>Previous pregnancy affected by neural tube defect</w:t>
            </w:r>
          </w:p>
          <w:p w14:paraId="22FE1B57" w14:textId="77777777" w:rsidR="00602DA3" w:rsidRPr="00602DA3" w:rsidRDefault="00602DA3" w:rsidP="0012134D">
            <w:pPr>
              <w:widowControl w:val="0"/>
              <w:numPr>
                <w:ilvl w:val="1"/>
                <w:numId w:val="35"/>
              </w:numPr>
              <w:overflowPunct w:val="0"/>
              <w:autoSpaceDE w:val="0"/>
              <w:autoSpaceDN w:val="0"/>
              <w:adjustRightInd w:val="0"/>
              <w:spacing w:after="0" w:line="240" w:lineRule="auto"/>
              <w:textAlignment w:val="baseline"/>
              <w:rPr>
                <w:rFonts w:ascii="Arial" w:hAnsi="Arial" w:cs="Arial"/>
              </w:rPr>
            </w:pPr>
            <w:r>
              <w:rPr>
                <w:rFonts w:ascii="Arial" w:hAnsi="Arial" w:cs="Arial"/>
              </w:rPr>
              <w:t>Pregnant individual</w:t>
            </w:r>
            <w:r w:rsidRPr="00602DA3">
              <w:rPr>
                <w:rFonts w:ascii="Arial" w:hAnsi="Arial" w:cs="Arial"/>
              </w:rPr>
              <w:t xml:space="preserve"> or baby’s biological father has a neural tube defect</w:t>
            </w:r>
          </w:p>
          <w:p w14:paraId="096B96BA" w14:textId="77777777" w:rsidR="00602DA3" w:rsidRPr="00602DA3" w:rsidRDefault="00602DA3" w:rsidP="0012134D">
            <w:pPr>
              <w:widowControl w:val="0"/>
              <w:numPr>
                <w:ilvl w:val="1"/>
                <w:numId w:val="35"/>
              </w:numPr>
              <w:overflowPunct w:val="0"/>
              <w:autoSpaceDE w:val="0"/>
              <w:autoSpaceDN w:val="0"/>
              <w:adjustRightInd w:val="0"/>
              <w:spacing w:after="0" w:line="240" w:lineRule="auto"/>
              <w:textAlignment w:val="baseline"/>
              <w:rPr>
                <w:rFonts w:ascii="Arial" w:hAnsi="Arial" w:cs="Arial"/>
              </w:rPr>
            </w:pPr>
            <w:r w:rsidRPr="00602DA3">
              <w:rPr>
                <w:rFonts w:ascii="Arial" w:hAnsi="Arial" w:cs="Arial"/>
              </w:rPr>
              <w:t>Family history of neural tube defect</w:t>
            </w:r>
          </w:p>
          <w:p w14:paraId="7F8200EF" w14:textId="77777777" w:rsidR="00602DA3" w:rsidRDefault="00602DA3" w:rsidP="0012134D">
            <w:pPr>
              <w:widowControl w:val="0"/>
              <w:numPr>
                <w:ilvl w:val="1"/>
                <w:numId w:val="35"/>
              </w:numPr>
              <w:overflowPunct w:val="0"/>
              <w:autoSpaceDE w:val="0"/>
              <w:autoSpaceDN w:val="0"/>
              <w:adjustRightInd w:val="0"/>
              <w:spacing w:after="0" w:line="240" w:lineRule="auto"/>
              <w:textAlignment w:val="baseline"/>
              <w:rPr>
                <w:rFonts w:ascii="Arial" w:hAnsi="Arial" w:cs="Arial"/>
              </w:rPr>
            </w:pPr>
            <w:r w:rsidRPr="00602DA3">
              <w:rPr>
                <w:rFonts w:ascii="Arial" w:hAnsi="Arial" w:cs="Arial"/>
              </w:rPr>
              <w:t>Diabetes type 1 or 2</w:t>
            </w:r>
          </w:p>
          <w:p w14:paraId="396AC6D6" w14:textId="77777777" w:rsidR="0052487A" w:rsidRPr="00602DA3" w:rsidRDefault="0052487A" w:rsidP="0012134D">
            <w:pPr>
              <w:widowControl w:val="0"/>
              <w:numPr>
                <w:ilvl w:val="1"/>
                <w:numId w:val="35"/>
              </w:numPr>
              <w:overflowPunct w:val="0"/>
              <w:autoSpaceDE w:val="0"/>
              <w:autoSpaceDN w:val="0"/>
              <w:adjustRightInd w:val="0"/>
              <w:spacing w:after="0" w:line="240" w:lineRule="auto"/>
              <w:textAlignment w:val="baseline"/>
              <w:rPr>
                <w:rFonts w:ascii="Arial" w:hAnsi="Arial" w:cs="Arial"/>
              </w:rPr>
            </w:pPr>
            <w:r w:rsidRPr="0052487A">
              <w:rPr>
                <w:rFonts w:ascii="Arial" w:hAnsi="Arial" w:cs="Arial"/>
              </w:rPr>
              <w:t>Individuals taking anti-epilepsy medication</w:t>
            </w:r>
          </w:p>
          <w:p w14:paraId="505ADCE1" w14:textId="4903CFFD" w:rsidR="00602DA3" w:rsidRPr="00602DA3" w:rsidRDefault="00602DA3" w:rsidP="0012134D">
            <w:pPr>
              <w:widowControl w:val="0"/>
              <w:numPr>
                <w:ilvl w:val="0"/>
                <w:numId w:val="35"/>
              </w:numPr>
              <w:overflowPunct w:val="0"/>
              <w:autoSpaceDE w:val="0"/>
              <w:autoSpaceDN w:val="0"/>
              <w:adjustRightInd w:val="0"/>
              <w:spacing w:after="0" w:line="240" w:lineRule="auto"/>
              <w:textAlignment w:val="baseline"/>
              <w:rPr>
                <w:rFonts w:ascii="Arial" w:hAnsi="Arial" w:cs="Arial"/>
              </w:rPr>
            </w:pPr>
            <w:r w:rsidRPr="00602DA3">
              <w:rPr>
                <w:rFonts w:ascii="Arial" w:hAnsi="Arial" w:cs="Arial"/>
              </w:rPr>
              <w:t>For</w:t>
            </w:r>
            <w:r>
              <w:rPr>
                <w:rFonts w:ascii="Arial" w:hAnsi="Arial" w:cs="Arial"/>
              </w:rPr>
              <w:t xml:space="preserve"> </w:t>
            </w:r>
            <w:r w:rsidR="002852B2">
              <w:rPr>
                <w:rFonts w:ascii="Arial" w:hAnsi="Arial" w:cs="Arial"/>
              </w:rPr>
              <w:t>individuals</w:t>
            </w:r>
            <w:r>
              <w:rPr>
                <w:rFonts w:ascii="Arial" w:hAnsi="Arial" w:cs="Arial"/>
              </w:rPr>
              <w:t xml:space="preserve"> in the following groups to </w:t>
            </w:r>
            <w:r w:rsidRPr="00602DA3">
              <w:rPr>
                <w:rFonts w:ascii="Arial" w:hAnsi="Arial" w:cs="Arial"/>
              </w:rPr>
              <w:t xml:space="preserve">be </w:t>
            </w:r>
            <w:r w:rsidR="00B72888">
              <w:rPr>
                <w:rFonts w:ascii="Arial" w:hAnsi="Arial" w:cs="Arial"/>
              </w:rPr>
              <w:t>taken prior to conception (</w:t>
            </w:r>
            <w:r w:rsidR="00926A06" w:rsidRPr="00926A06">
              <w:rPr>
                <w:rFonts w:ascii="Arial" w:hAnsi="Arial" w:cs="Arial"/>
              </w:rPr>
              <w:t>recommended for 3 months prior to conception where possible)</w:t>
            </w:r>
            <w:r w:rsidR="00B72888">
              <w:rPr>
                <w:rFonts w:ascii="Arial" w:hAnsi="Arial" w:cs="Arial"/>
              </w:rPr>
              <w:t xml:space="preserve"> and </w:t>
            </w:r>
            <w:r w:rsidRPr="00602DA3">
              <w:rPr>
                <w:rFonts w:ascii="Arial" w:hAnsi="Arial" w:cs="Arial"/>
              </w:rPr>
              <w:t>continued t</w:t>
            </w:r>
            <w:r>
              <w:rPr>
                <w:rFonts w:ascii="Arial" w:hAnsi="Arial" w:cs="Arial"/>
              </w:rPr>
              <w:t>hroughout the entire pregnancy</w:t>
            </w:r>
            <w:r w:rsidR="00856CFD">
              <w:rPr>
                <w:rFonts w:ascii="Arial" w:hAnsi="Arial" w:cs="Arial"/>
              </w:rPr>
              <w:t xml:space="preserve"> </w:t>
            </w:r>
            <w:r w:rsidR="00856CFD" w:rsidRPr="00856CFD">
              <w:rPr>
                <w:rFonts w:ascii="Arial" w:hAnsi="Arial" w:cs="Arial"/>
                <w:highlight w:val="cyan"/>
              </w:rPr>
              <w:t>(</w:t>
            </w:r>
            <w:r w:rsidR="00856CFD">
              <w:rPr>
                <w:rFonts w:ascii="Arial" w:hAnsi="Arial" w:cs="Arial"/>
                <w:highlight w:val="cyan"/>
              </w:rPr>
              <w:t xml:space="preserve">continued for </w:t>
            </w:r>
            <w:r w:rsidR="00856CFD" w:rsidRPr="00856CFD">
              <w:rPr>
                <w:rFonts w:ascii="Arial" w:hAnsi="Arial" w:cs="Arial"/>
                <w:highlight w:val="cyan"/>
              </w:rPr>
              <w:t>12 weeks for individuals on dolutegravir)</w:t>
            </w:r>
            <w:r>
              <w:rPr>
                <w:rFonts w:ascii="Arial" w:hAnsi="Arial" w:cs="Arial"/>
              </w:rPr>
              <w:t>:</w:t>
            </w:r>
          </w:p>
          <w:p w14:paraId="77E52063" w14:textId="77777777" w:rsidR="00602DA3" w:rsidRDefault="00602DA3" w:rsidP="0012134D">
            <w:pPr>
              <w:widowControl w:val="0"/>
              <w:numPr>
                <w:ilvl w:val="1"/>
                <w:numId w:val="35"/>
              </w:numPr>
              <w:overflowPunct w:val="0"/>
              <w:autoSpaceDE w:val="0"/>
              <w:autoSpaceDN w:val="0"/>
              <w:adjustRightInd w:val="0"/>
              <w:spacing w:after="0" w:line="240" w:lineRule="auto"/>
              <w:textAlignment w:val="baseline"/>
              <w:rPr>
                <w:rFonts w:ascii="Arial" w:hAnsi="Arial" w:cs="Arial"/>
              </w:rPr>
            </w:pPr>
            <w:r>
              <w:rPr>
                <w:rFonts w:ascii="Arial" w:hAnsi="Arial" w:cs="Arial"/>
              </w:rPr>
              <w:t>Individuals</w:t>
            </w:r>
            <w:r w:rsidRPr="00602DA3">
              <w:rPr>
                <w:rFonts w:ascii="Arial" w:hAnsi="Arial" w:cs="Arial"/>
              </w:rPr>
              <w:t xml:space="preserve"> with sickle cell disease, thalassaemia or thalassaemia trait.</w:t>
            </w:r>
          </w:p>
          <w:p w14:paraId="48D8751C" w14:textId="250B13AC" w:rsidR="006534D9" w:rsidRPr="006534D9" w:rsidRDefault="00856CFD" w:rsidP="0012134D">
            <w:pPr>
              <w:numPr>
                <w:ilvl w:val="1"/>
                <w:numId w:val="35"/>
              </w:numPr>
              <w:spacing w:after="0" w:line="240" w:lineRule="auto"/>
              <w:rPr>
                <w:rFonts w:ascii="Arial" w:hAnsi="Arial" w:cs="Arial"/>
              </w:rPr>
            </w:pPr>
            <w:r>
              <w:rPr>
                <w:rFonts w:ascii="Arial" w:hAnsi="Arial" w:cs="Arial"/>
                <w:highlight w:val="cyan"/>
              </w:rPr>
              <w:t>Individuals</w:t>
            </w:r>
            <w:r w:rsidR="006534D9" w:rsidRPr="006534D9">
              <w:rPr>
                <w:rFonts w:ascii="Arial" w:hAnsi="Arial" w:cs="Arial"/>
                <w:highlight w:val="cyan"/>
              </w:rPr>
              <w:t xml:space="preserve"> living with HIV who are planning to conceive/do conceive on dolutegravir (as per BHIVA guidelines) (if applicable to service)</w:t>
            </w:r>
          </w:p>
        </w:tc>
      </w:tr>
      <w:tr w:rsidR="00390FE1" w14:paraId="37E564D2" w14:textId="77777777" w:rsidTr="003317CA">
        <w:tc>
          <w:tcPr>
            <w:tcW w:w="3403" w:type="dxa"/>
            <w:shd w:val="clear" w:color="auto" w:fill="D9D9D9"/>
          </w:tcPr>
          <w:p w14:paraId="44DCAC6F"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Criteria for exclusion</w:t>
            </w:r>
          </w:p>
        </w:tc>
        <w:tc>
          <w:tcPr>
            <w:tcW w:w="6379" w:type="dxa"/>
            <w:shd w:val="clear" w:color="auto" w:fill="auto"/>
          </w:tcPr>
          <w:p w14:paraId="60CFE894" w14:textId="77777777" w:rsidR="000D7528" w:rsidRDefault="000D7528" w:rsidP="0012134D">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Consent not given.  </w:t>
            </w:r>
          </w:p>
          <w:p w14:paraId="231A4FD5" w14:textId="77777777" w:rsidR="001B58D8" w:rsidRPr="001B58D8" w:rsidRDefault="001B58D8" w:rsidP="0012134D">
            <w:pPr>
              <w:numPr>
                <w:ilvl w:val="0"/>
                <w:numId w:val="39"/>
              </w:numPr>
              <w:spacing w:after="0" w:line="240" w:lineRule="auto"/>
              <w:rPr>
                <w:rFonts w:ascii="Arial" w:hAnsi="Arial" w:cs="Arial"/>
              </w:rPr>
            </w:pPr>
            <w:r w:rsidRPr="001B58D8">
              <w:rPr>
                <w:rFonts w:ascii="Arial" w:hAnsi="Arial" w:cs="Arial"/>
              </w:rPr>
              <w:t xml:space="preserve">Individuals </w:t>
            </w:r>
            <w:r w:rsidR="008F1B48">
              <w:rPr>
                <w:rFonts w:ascii="Arial" w:hAnsi="Arial" w:cs="Arial"/>
              </w:rPr>
              <w:t xml:space="preserve">aged </w:t>
            </w:r>
            <w:r w:rsidRPr="001B58D8">
              <w:rPr>
                <w:rFonts w:ascii="Arial" w:hAnsi="Arial" w:cs="Arial"/>
              </w:rPr>
              <w:t xml:space="preserve">under 16 years of age </w:t>
            </w:r>
            <w:r w:rsidR="008F1B48">
              <w:rPr>
                <w:rFonts w:ascii="Arial" w:hAnsi="Arial" w:cs="Arial"/>
              </w:rPr>
              <w:t>who</w:t>
            </w:r>
            <w:r w:rsidRPr="001B58D8">
              <w:rPr>
                <w:rFonts w:ascii="Arial" w:hAnsi="Arial" w:cs="Arial"/>
              </w:rPr>
              <w:t xml:space="preserve"> </w:t>
            </w:r>
            <w:r w:rsidR="008F1B48">
              <w:rPr>
                <w:rFonts w:ascii="Arial" w:hAnsi="Arial" w:cs="Arial"/>
              </w:rPr>
              <w:t xml:space="preserve">are </w:t>
            </w:r>
            <w:r w:rsidRPr="001B58D8">
              <w:rPr>
                <w:rFonts w:ascii="Arial" w:hAnsi="Arial" w:cs="Arial"/>
              </w:rPr>
              <w:t xml:space="preserve">assessed as not competent </w:t>
            </w:r>
            <w:r w:rsidR="008F1B48">
              <w:rPr>
                <w:rFonts w:ascii="Arial" w:hAnsi="Arial" w:cs="Arial"/>
              </w:rPr>
              <w:t xml:space="preserve">to consent </w:t>
            </w:r>
            <w:r w:rsidRPr="001B58D8">
              <w:rPr>
                <w:rFonts w:ascii="Arial" w:hAnsi="Arial" w:cs="Arial"/>
              </w:rPr>
              <w:t>using Fraser Guidelines</w:t>
            </w:r>
          </w:p>
          <w:p w14:paraId="43755E98" w14:textId="77777777" w:rsidR="0069351C" w:rsidRDefault="0069351C" w:rsidP="0012134D">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69351C">
              <w:rPr>
                <w:rFonts w:ascii="Arial" w:hAnsi="Arial" w:cs="Arial"/>
              </w:rPr>
              <w:t xml:space="preserve">Hypersensitivity/allergy to </w:t>
            </w:r>
            <w:r w:rsidR="006735EC">
              <w:rPr>
                <w:rFonts w:ascii="Arial" w:hAnsi="Arial" w:cs="Arial"/>
              </w:rPr>
              <w:t>the active</w:t>
            </w:r>
            <w:r w:rsidR="00602DA3">
              <w:rPr>
                <w:rFonts w:ascii="Arial" w:hAnsi="Arial" w:cs="Arial"/>
              </w:rPr>
              <w:t xml:space="preserve"> ingredient or any of t</w:t>
            </w:r>
            <w:r w:rsidR="006735EC">
              <w:rPr>
                <w:rFonts w:ascii="Arial" w:hAnsi="Arial" w:cs="Arial"/>
              </w:rPr>
              <w:t>h</w:t>
            </w:r>
            <w:r w:rsidR="00602DA3">
              <w:rPr>
                <w:rFonts w:ascii="Arial" w:hAnsi="Arial" w:cs="Arial"/>
              </w:rPr>
              <w:t>e</w:t>
            </w:r>
            <w:r w:rsidR="006735EC">
              <w:rPr>
                <w:rFonts w:ascii="Arial" w:hAnsi="Arial" w:cs="Arial"/>
              </w:rPr>
              <w:t xml:space="preserve"> product excipients </w:t>
            </w:r>
          </w:p>
          <w:p w14:paraId="08BABA40" w14:textId="77777777" w:rsidR="00C23133" w:rsidRPr="00C23133" w:rsidRDefault="00DB5E2D" w:rsidP="0012134D">
            <w:pPr>
              <w:numPr>
                <w:ilvl w:val="0"/>
                <w:numId w:val="39"/>
              </w:numPr>
              <w:spacing w:after="0" w:line="240" w:lineRule="auto"/>
              <w:rPr>
                <w:rFonts w:ascii="Arial" w:hAnsi="Arial" w:cs="Arial"/>
              </w:rPr>
            </w:pPr>
            <w:r>
              <w:rPr>
                <w:rFonts w:ascii="Arial" w:hAnsi="Arial" w:cs="Arial"/>
              </w:rPr>
              <w:t>Individuals</w:t>
            </w:r>
            <w:r w:rsidR="00C23133" w:rsidRPr="00C23133">
              <w:rPr>
                <w:rFonts w:ascii="Arial" w:hAnsi="Arial" w:cs="Arial"/>
              </w:rPr>
              <w:t xml:space="preserve"> with malignant disease, unless megaloblastic anaemia due to folic acid deficiency.</w:t>
            </w:r>
          </w:p>
          <w:p w14:paraId="7E87D23B" w14:textId="77777777" w:rsidR="00602DA3" w:rsidRPr="00602DA3" w:rsidRDefault="00602DA3" w:rsidP="0012134D">
            <w:pPr>
              <w:widowControl w:val="0"/>
              <w:numPr>
                <w:ilvl w:val="0"/>
                <w:numId w:val="39"/>
              </w:numPr>
              <w:overflowPunct w:val="0"/>
              <w:autoSpaceDE w:val="0"/>
              <w:autoSpaceDN w:val="0"/>
              <w:adjustRightInd w:val="0"/>
              <w:spacing w:after="0" w:line="240" w:lineRule="auto"/>
              <w:textAlignment w:val="baseline"/>
              <w:rPr>
                <w:rFonts w:ascii="Arial" w:hAnsi="Arial" w:cs="Arial"/>
              </w:rPr>
            </w:pPr>
            <w:r>
              <w:rPr>
                <w:rFonts w:ascii="Arial" w:hAnsi="Arial" w:cs="Arial"/>
              </w:rPr>
              <w:t>Individuals</w:t>
            </w:r>
            <w:r w:rsidRPr="00602DA3">
              <w:rPr>
                <w:rFonts w:ascii="Arial" w:hAnsi="Arial" w:cs="Arial"/>
              </w:rPr>
              <w:t xml:space="preserve"> with known</w:t>
            </w:r>
            <w:r w:rsidR="005248A5">
              <w:rPr>
                <w:rFonts w:ascii="Arial" w:hAnsi="Arial" w:cs="Arial"/>
              </w:rPr>
              <w:t xml:space="preserve"> untreated</w:t>
            </w:r>
            <w:r w:rsidRPr="00602DA3">
              <w:rPr>
                <w:rFonts w:ascii="Arial" w:hAnsi="Arial" w:cs="Arial"/>
              </w:rPr>
              <w:t xml:space="preserve"> vitamin B12 deficiency </w:t>
            </w:r>
          </w:p>
          <w:p w14:paraId="3B992F59" w14:textId="77777777" w:rsidR="00BE0CD4" w:rsidRPr="00BE0CD4" w:rsidRDefault="00EB61F6" w:rsidP="0012134D">
            <w:pPr>
              <w:widowControl w:val="0"/>
              <w:numPr>
                <w:ilvl w:val="0"/>
                <w:numId w:val="39"/>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Individuals </w:t>
            </w:r>
            <w:r w:rsidRPr="00B72888">
              <w:rPr>
                <w:rFonts w:ascii="Arial" w:hAnsi="Arial" w:cs="Arial"/>
              </w:rPr>
              <w:t>with malabsorption states (e.g. coeliac disease, short bowel syndrome, lactase deficiency, pancreatic insufficiencies</w:t>
            </w:r>
            <w:r>
              <w:rPr>
                <w:rFonts w:ascii="Arial" w:hAnsi="Arial" w:cs="Arial"/>
              </w:rPr>
              <w:t xml:space="preserve"> or liver disease)</w:t>
            </w:r>
            <w:r w:rsidRPr="00B72888">
              <w:rPr>
                <w:rFonts w:ascii="Arial" w:hAnsi="Arial" w:cs="Arial"/>
              </w:rPr>
              <w:t xml:space="preserve"> or those on sulfasalazin</w:t>
            </w:r>
            <w:r>
              <w:rPr>
                <w:rFonts w:ascii="Arial" w:hAnsi="Arial" w:cs="Arial"/>
              </w:rPr>
              <w:t>e</w:t>
            </w:r>
          </w:p>
          <w:p w14:paraId="7EBA445E" w14:textId="77777777" w:rsidR="00BE0CD4" w:rsidRPr="00EB1F4C" w:rsidRDefault="00BE0CD4" w:rsidP="0012134D">
            <w:pPr>
              <w:pStyle w:val="TableParagraph"/>
              <w:numPr>
                <w:ilvl w:val="0"/>
                <w:numId w:val="39"/>
              </w:numPr>
              <w:spacing w:after="0" w:line="240" w:lineRule="auto"/>
              <w:rPr>
                <w:rFonts w:ascii="Arial" w:hAnsi="Arial" w:cs="Arial"/>
              </w:rPr>
            </w:pPr>
            <w:r w:rsidRPr="00EB1F4C">
              <w:rPr>
                <w:rFonts w:ascii="Arial" w:hAnsi="Arial" w:cs="Arial"/>
              </w:rPr>
              <w:t xml:space="preserve">Individuals with rare hereditary problems of galactosaemia, galactose intolerance, total lactase deficiency, glucose-galactose malabsorption, sucrase-isomaltase deficiency, fructose-1,6-bisphosphatase deficiency (also known as hereditary fructose intolerance): check the individual list of excipients available in the </w:t>
            </w:r>
            <w:hyperlink r:id="rId13" w:history="1">
              <w:r w:rsidRPr="00EB1F4C">
                <w:rPr>
                  <w:rStyle w:val="Hyperlink"/>
                  <w:rFonts w:ascii="Arial" w:hAnsi="Arial" w:cs="Arial"/>
                  <w:color w:val="auto"/>
                </w:rPr>
                <w:t>SPC</w:t>
              </w:r>
            </w:hyperlink>
            <w:r w:rsidRPr="00EB1F4C">
              <w:rPr>
                <w:rFonts w:ascii="Arial" w:hAnsi="Arial" w:cs="Arial"/>
              </w:rPr>
              <w:t xml:space="preserve"> before supplying.</w:t>
            </w:r>
          </w:p>
          <w:p w14:paraId="4ADDBE96" w14:textId="77777777" w:rsidR="000D7528" w:rsidRPr="0069351C" w:rsidRDefault="0048490B" w:rsidP="0012134D">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926A06">
              <w:rPr>
                <w:rFonts w:ascii="Arial" w:hAnsi="Arial" w:cs="Arial"/>
              </w:rPr>
              <w:t>Clinically significant drug interaction/s</w:t>
            </w:r>
            <w:r w:rsidRPr="0069351C">
              <w:rPr>
                <w:rFonts w:ascii="Arial" w:hAnsi="Arial" w:cs="Arial"/>
              </w:rPr>
              <w:t xml:space="preserve"> – see</w:t>
            </w:r>
            <w:r>
              <w:rPr>
                <w:rFonts w:ascii="Arial" w:hAnsi="Arial" w:cs="Arial"/>
              </w:rPr>
              <w:t xml:space="preserve"> relevant section of this PGD and also refer to</w:t>
            </w:r>
            <w:r w:rsidRPr="0069351C">
              <w:rPr>
                <w:rFonts w:ascii="Arial" w:hAnsi="Arial" w:cs="Arial"/>
              </w:rPr>
              <w:t xml:space="preserve"> current British National Formulary (BNF) </w:t>
            </w:r>
            <w:hyperlink r:id="rId14" w:history="1">
              <w:r w:rsidRPr="0069351C">
                <w:rPr>
                  <w:rFonts w:ascii="Arial" w:hAnsi="Arial" w:cs="Arial"/>
                  <w:color w:val="0000FF"/>
                  <w:u w:val="single"/>
                </w:rPr>
                <w:t>www.bnf.org</w:t>
              </w:r>
            </w:hyperlink>
            <w:r w:rsidRPr="0069351C">
              <w:rPr>
                <w:rFonts w:ascii="Arial" w:hAnsi="Arial" w:cs="Arial"/>
                <w:u w:val="single"/>
              </w:rPr>
              <w:t xml:space="preserve"> </w:t>
            </w:r>
            <w:r w:rsidRPr="0069351C">
              <w:rPr>
                <w:rFonts w:ascii="Arial" w:hAnsi="Arial" w:cs="Arial"/>
              </w:rPr>
              <w:t xml:space="preserve">or individual product SPC </w:t>
            </w:r>
            <w:hyperlink r:id="rId15" w:history="1">
              <w:r w:rsidRPr="0069351C">
                <w:rPr>
                  <w:rFonts w:ascii="Arial" w:hAnsi="Arial" w:cs="Arial"/>
                  <w:color w:val="0000FF"/>
                  <w:u w:val="single"/>
                </w:rPr>
                <w:t>http://www.medicines.org.uk</w:t>
              </w:r>
            </w:hyperlink>
          </w:p>
        </w:tc>
      </w:tr>
      <w:tr w:rsidR="00390FE1" w14:paraId="5A0543B9" w14:textId="77777777" w:rsidTr="003317CA">
        <w:trPr>
          <w:trHeight w:val="269"/>
        </w:trPr>
        <w:tc>
          <w:tcPr>
            <w:tcW w:w="3403" w:type="dxa"/>
            <w:shd w:val="clear" w:color="auto" w:fill="D9D9D9"/>
          </w:tcPr>
          <w:p w14:paraId="7659AE71"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lastRenderedPageBreak/>
              <w:t>Cautions including any relevant action to be taken</w:t>
            </w:r>
          </w:p>
        </w:tc>
        <w:tc>
          <w:tcPr>
            <w:tcW w:w="6379" w:type="dxa"/>
            <w:shd w:val="clear" w:color="auto" w:fill="auto"/>
          </w:tcPr>
          <w:p w14:paraId="6986234E" w14:textId="77777777" w:rsidR="004C7B63" w:rsidRPr="005256FA" w:rsidRDefault="0048490B" w:rsidP="0012134D">
            <w:pPr>
              <w:numPr>
                <w:ilvl w:val="0"/>
                <w:numId w:val="22"/>
              </w:numPr>
              <w:overflowPunct w:val="0"/>
              <w:autoSpaceDE w:val="0"/>
              <w:autoSpaceDN w:val="0"/>
              <w:adjustRightInd w:val="0"/>
              <w:spacing w:after="0" w:line="240" w:lineRule="auto"/>
              <w:ind w:left="0" w:firstLine="0"/>
              <w:textAlignment w:val="baseline"/>
              <w:rPr>
                <w:rFonts w:ascii="Arial" w:hAnsi="Arial" w:cs="Arial"/>
                <w:szCs w:val="20"/>
              </w:rPr>
            </w:pPr>
            <w:r w:rsidRPr="000D7528">
              <w:rPr>
                <w:rFonts w:ascii="Arial" w:hAnsi="Arial" w:cs="Arial"/>
              </w:rPr>
              <w:t>Discuss with appropriate medical/independent non-medical prescriber any medical condition or</w:t>
            </w:r>
            <w:r>
              <w:rPr>
                <w:rFonts w:ascii="Arial" w:hAnsi="Arial" w:cs="Arial"/>
              </w:rPr>
              <w:t xml:space="preserve"> drug</w:t>
            </w:r>
            <w:r w:rsidRPr="000D7528">
              <w:rPr>
                <w:rFonts w:ascii="Arial" w:hAnsi="Arial" w:cs="Arial"/>
              </w:rPr>
              <w:t xml:space="preserve"> </w:t>
            </w:r>
            <w:r>
              <w:rPr>
                <w:rFonts w:ascii="Arial" w:hAnsi="Arial" w:cs="Arial"/>
              </w:rPr>
              <w:t xml:space="preserve">interaction </w:t>
            </w:r>
            <w:r w:rsidRPr="000D7528">
              <w:rPr>
                <w:rFonts w:ascii="Arial" w:hAnsi="Arial" w:cs="Arial"/>
              </w:rPr>
              <w:t>of which the healthcare professional is unsure or uncertain</w:t>
            </w:r>
          </w:p>
        </w:tc>
      </w:tr>
      <w:tr w:rsidR="00390FE1" w14:paraId="67413A8E" w14:textId="77777777" w:rsidTr="00B72888">
        <w:trPr>
          <w:trHeight w:val="764"/>
        </w:trPr>
        <w:tc>
          <w:tcPr>
            <w:tcW w:w="3403" w:type="dxa"/>
            <w:shd w:val="clear" w:color="auto" w:fill="D9D9D9"/>
          </w:tcPr>
          <w:p w14:paraId="1703E8A0"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 xml:space="preserve">Action to be taken if the individual is excluded or declines treatment </w:t>
            </w:r>
          </w:p>
        </w:tc>
        <w:tc>
          <w:tcPr>
            <w:tcW w:w="6379" w:type="dxa"/>
            <w:shd w:val="clear" w:color="auto" w:fill="auto"/>
          </w:tcPr>
          <w:p w14:paraId="0C00027E" w14:textId="77777777" w:rsidR="00B72888" w:rsidRPr="00B72888" w:rsidRDefault="000D7528" w:rsidP="0012134D">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Explain the reasons for exclusion to the individual and document in the consultation record.</w:t>
            </w:r>
          </w:p>
          <w:p w14:paraId="776C505F" w14:textId="77777777" w:rsidR="000D7528" w:rsidRPr="000D7528" w:rsidRDefault="000D7528" w:rsidP="0012134D">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Record reason for decline in the consultation record.</w:t>
            </w:r>
          </w:p>
          <w:p w14:paraId="115439FC" w14:textId="77777777" w:rsidR="00B72888" w:rsidRPr="000D7528" w:rsidRDefault="000D7528" w:rsidP="0012134D">
            <w:pPr>
              <w:numPr>
                <w:ilvl w:val="0"/>
                <w:numId w:val="40"/>
              </w:numPr>
              <w:overflowPunct w:val="0"/>
              <w:autoSpaceDE w:val="0"/>
              <w:autoSpaceDN w:val="0"/>
              <w:adjustRightInd w:val="0"/>
              <w:spacing w:after="0" w:line="240" w:lineRule="auto"/>
              <w:contextualSpacing/>
              <w:textAlignment w:val="baseline"/>
              <w:rPr>
                <w:rFonts w:ascii="Arial" w:hAnsi="Arial" w:cs="Arial"/>
              </w:rPr>
            </w:pPr>
            <w:r w:rsidRPr="000D7528">
              <w:rPr>
                <w:rFonts w:ascii="Arial" w:hAnsi="Arial" w:cs="Arial"/>
              </w:rPr>
              <w:t>Where required refer the individual to a suitable health service provider if appropriate and/or provide them with information about further options.</w:t>
            </w:r>
            <w:r w:rsidR="00B72888">
              <w:rPr>
                <w:rFonts w:ascii="Arial" w:hAnsi="Arial" w:cs="Arial"/>
              </w:rPr>
              <w:t xml:space="preserve">  </w:t>
            </w:r>
          </w:p>
        </w:tc>
      </w:tr>
    </w:tbl>
    <w:p w14:paraId="1BA478E7" w14:textId="77777777" w:rsidR="0012134D" w:rsidRDefault="0012134D" w:rsidP="0012134D">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1CCD2CC" w14:textId="0630DD3F" w:rsidR="00D10926" w:rsidRPr="00E136C7" w:rsidRDefault="00D10926" w:rsidP="00E136C7">
      <w:pPr>
        <w:pStyle w:val="ListParagraph"/>
        <w:numPr>
          <w:ilvl w:val="0"/>
          <w:numId w:val="49"/>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E136C7">
        <w:rPr>
          <w:rFonts w:ascii="Arial" w:hAnsi="Arial" w:cs="Arial"/>
          <w:b/>
        </w:rPr>
        <w:t>Description of treatment</w:t>
      </w:r>
    </w:p>
    <w:p w14:paraId="49BFAEFB" w14:textId="77777777" w:rsidR="000D7528" w:rsidRPr="00D10926" w:rsidRDefault="000D7528" w:rsidP="0012134D">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390FE1" w14:paraId="35A17E7D" w14:textId="77777777" w:rsidTr="003317CA">
        <w:tc>
          <w:tcPr>
            <w:tcW w:w="3403" w:type="dxa"/>
            <w:shd w:val="clear" w:color="auto" w:fill="D9D9D9"/>
          </w:tcPr>
          <w:p w14:paraId="59A8A8FA"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66757D6" w14:textId="77777777" w:rsidR="00262BB2" w:rsidRPr="003A61A3" w:rsidRDefault="00602DA3" w:rsidP="0012134D">
            <w:pPr>
              <w:overflowPunct w:val="0"/>
              <w:autoSpaceDE w:val="0"/>
              <w:autoSpaceDN w:val="0"/>
              <w:adjustRightInd w:val="0"/>
              <w:spacing w:after="0" w:line="240" w:lineRule="auto"/>
              <w:contextualSpacing/>
              <w:textAlignment w:val="baseline"/>
              <w:rPr>
                <w:rFonts w:ascii="Arial" w:hAnsi="Arial" w:cs="Arial"/>
                <w:szCs w:val="20"/>
              </w:rPr>
            </w:pPr>
            <w:r>
              <w:rPr>
                <w:rFonts w:ascii="Arial" w:hAnsi="Arial" w:cs="Arial"/>
                <w:szCs w:val="20"/>
              </w:rPr>
              <w:t xml:space="preserve">Folic acid 5mg tablets </w:t>
            </w:r>
          </w:p>
        </w:tc>
      </w:tr>
      <w:tr w:rsidR="00390FE1" w14:paraId="18166E9D" w14:textId="77777777" w:rsidTr="003317CA">
        <w:tc>
          <w:tcPr>
            <w:tcW w:w="3403" w:type="dxa"/>
            <w:shd w:val="clear" w:color="auto" w:fill="D9D9D9"/>
          </w:tcPr>
          <w:p w14:paraId="0F7E61C5"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Legal category</w:t>
            </w:r>
          </w:p>
        </w:tc>
        <w:tc>
          <w:tcPr>
            <w:tcW w:w="6379" w:type="dxa"/>
            <w:shd w:val="clear" w:color="auto" w:fill="auto"/>
          </w:tcPr>
          <w:p w14:paraId="7E798CAB" w14:textId="77777777" w:rsidR="000D7528" w:rsidRPr="000D7528" w:rsidRDefault="00602DA3" w:rsidP="0012134D">
            <w:pPr>
              <w:overflowPunct w:val="0"/>
              <w:autoSpaceDE w:val="0"/>
              <w:autoSpaceDN w:val="0"/>
              <w:adjustRightInd w:val="0"/>
              <w:spacing w:after="0" w:line="240" w:lineRule="auto"/>
              <w:textAlignment w:val="baseline"/>
              <w:rPr>
                <w:rFonts w:ascii="Arial" w:hAnsi="Arial" w:cs="Arial"/>
              </w:rPr>
            </w:pPr>
            <w:r w:rsidRPr="008C5B41">
              <w:rPr>
                <w:rFonts w:ascii="Arial" w:hAnsi="Arial" w:cs="Arial"/>
                <w:szCs w:val="20"/>
              </w:rPr>
              <w:t>POM</w:t>
            </w:r>
          </w:p>
        </w:tc>
      </w:tr>
      <w:tr w:rsidR="00390FE1" w14:paraId="609A2C1D" w14:textId="77777777" w:rsidTr="003317CA">
        <w:tc>
          <w:tcPr>
            <w:tcW w:w="3403" w:type="dxa"/>
            <w:shd w:val="clear" w:color="auto" w:fill="D9D9D9"/>
          </w:tcPr>
          <w:p w14:paraId="2F9E457E"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Route of administration</w:t>
            </w:r>
          </w:p>
        </w:tc>
        <w:tc>
          <w:tcPr>
            <w:tcW w:w="6379" w:type="dxa"/>
            <w:shd w:val="clear" w:color="auto" w:fill="auto"/>
          </w:tcPr>
          <w:p w14:paraId="65DCBF0C"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spacing w:val="-2"/>
              </w:rPr>
            </w:pPr>
            <w:r w:rsidRPr="000D7528">
              <w:rPr>
                <w:rFonts w:ascii="Arial" w:hAnsi="Arial" w:cs="Arial"/>
                <w:spacing w:val="-2"/>
              </w:rPr>
              <w:t>Oral</w:t>
            </w:r>
          </w:p>
        </w:tc>
      </w:tr>
      <w:tr w:rsidR="00390FE1" w14:paraId="6F75FF13" w14:textId="77777777" w:rsidTr="003317CA">
        <w:tc>
          <w:tcPr>
            <w:tcW w:w="3403" w:type="dxa"/>
            <w:shd w:val="clear" w:color="auto" w:fill="D9D9D9"/>
          </w:tcPr>
          <w:p w14:paraId="159B3EF0" w14:textId="77777777" w:rsidR="000D7528" w:rsidRPr="000D7528" w:rsidRDefault="000D7528" w:rsidP="0012134D">
            <w:pPr>
              <w:overflowPunct w:val="0"/>
              <w:autoSpaceDE w:val="0"/>
              <w:autoSpaceDN w:val="0"/>
              <w:adjustRightInd w:val="0"/>
              <w:spacing w:after="0" w:line="240" w:lineRule="auto"/>
              <w:contextualSpacing/>
              <w:textAlignment w:val="baseline"/>
              <w:rPr>
                <w:rFonts w:ascii="Arial" w:hAnsi="Arial" w:cs="Arial"/>
                <w:b/>
              </w:rPr>
            </w:pPr>
            <w:r w:rsidRPr="000D7528">
              <w:rPr>
                <w:rFonts w:ascii="Arial" w:hAnsi="Arial" w:cs="Arial"/>
                <w:b/>
              </w:rPr>
              <w:t>Off label use</w:t>
            </w:r>
          </w:p>
        </w:tc>
        <w:tc>
          <w:tcPr>
            <w:tcW w:w="6379" w:type="dxa"/>
            <w:shd w:val="clear" w:color="auto" w:fill="auto"/>
          </w:tcPr>
          <w:p w14:paraId="7FCA2DF6" w14:textId="77777777" w:rsidR="000D7528" w:rsidRPr="003A61A3" w:rsidRDefault="000D7528" w:rsidP="0012134D">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 xml:space="preserve">Best practice advice is given by the </w:t>
            </w:r>
            <w:r w:rsidR="005256FA" w:rsidRPr="003A61A3">
              <w:rPr>
                <w:rFonts w:ascii="Arial" w:hAnsi="Arial" w:cs="Arial"/>
              </w:rPr>
              <w:t xml:space="preserve">RCOG and NICE </w:t>
            </w:r>
            <w:r w:rsidRPr="003A61A3">
              <w:rPr>
                <w:rFonts w:ascii="Arial" w:hAnsi="Arial" w:cs="Arial"/>
              </w:rPr>
              <w:t>and is used for guidance in this PGD and may vary from the Summary of Product Characteristics (SPC).</w:t>
            </w:r>
          </w:p>
          <w:p w14:paraId="0A524017" w14:textId="77777777" w:rsidR="000D7528" w:rsidRPr="003A61A3" w:rsidRDefault="000D7528" w:rsidP="0012134D">
            <w:pPr>
              <w:overflowPunct w:val="0"/>
              <w:autoSpaceDE w:val="0"/>
              <w:autoSpaceDN w:val="0"/>
              <w:adjustRightInd w:val="0"/>
              <w:spacing w:after="0" w:line="240" w:lineRule="auto"/>
              <w:textAlignment w:val="baseline"/>
              <w:rPr>
                <w:rFonts w:ascii="Arial" w:hAnsi="Arial" w:cs="Arial"/>
              </w:rPr>
            </w:pPr>
          </w:p>
          <w:p w14:paraId="10716071" w14:textId="77777777" w:rsidR="000D7528" w:rsidRPr="003A61A3" w:rsidRDefault="000D7528" w:rsidP="0012134D">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This PGD includes inclusion criteria, exclusion criteria and dosage regimens which are outside the market authorisation for many of the available products</w:t>
            </w:r>
            <w:r w:rsidR="005256FA" w:rsidRPr="003A61A3">
              <w:rPr>
                <w:rFonts w:ascii="Arial" w:hAnsi="Arial" w:cs="Arial"/>
              </w:rPr>
              <w:t>.</w:t>
            </w:r>
          </w:p>
          <w:p w14:paraId="688D775C" w14:textId="77777777" w:rsidR="000D7528" w:rsidRPr="003A61A3" w:rsidRDefault="000D7528" w:rsidP="0012134D">
            <w:pPr>
              <w:overflowPunct w:val="0"/>
              <w:autoSpaceDE w:val="0"/>
              <w:autoSpaceDN w:val="0"/>
              <w:adjustRightInd w:val="0"/>
              <w:spacing w:after="0" w:line="240" w:lineRule="auto"/>
              <w:textAlignment w:val="baseline"/>
              <w:rPr>
                <w:rFonts w:ascii="Arial" w:hAnsi="Arial" w:cs="Arial"/>
              </w:rPr>
            </w:pPr>
          </w:p>
          <w:p w14:paraId="1628F9FD" w14:textId="77777777" w:rsidR="000D7528" w:rsidRPr="003A61A3" w:rsidRDefault="000D7528" w:rsidP="0012134D">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3A61A3">
              <w:rPr>
                <w:rFonts w:ascii="Arial" w:hAnsi="Arial"/>
                <w:szCs w:val="20"/>
              </w:rPr>
              <w:t xml:space="preserve"> </w:t>
            </w:r>
          </w:p>
          <w:p w14:paraId="3D0B1229" w14:textId="77777777" w:rsidR="000D7528" w:rsidRPr="003A61A3" w:rsidRDefault="000D7528" w:rsidP="0012134D">
            <w:pPr>
              <w:overflowPunct w:val="0"/>
              <w:autoSpaceDE w:val="0"/>
              <w:autoSpaceDN w:val="0"/>
              <w:adjustRightInd w:val="0"/>
              <w:spacing w:after="0" w:line="240" w:lineRule="auto"/>
              <w:textAlignment w:val="baseline"/>
              <w:rPr>
                <w:rFonts w:ascii="Arial" w:hAnsi="Arial" w:cs="Arial"/>
              </w:rPr>
            </w:pPr>
          </w:p>
          <w:p w14:paraId="6CC49206" w14:textId="77777777" w:rsidR="000D7528" w:rsidRDefault="000D7528" w:rsidP="0012134D">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p w14:paraId="4C22D5EF" w14:textId="77777777" w:rsidR="003A61A3" w:rsidRPr="003A61A3" w:rsidRDefault="003A61A3" w:rsidP="0012134D">
            <w:pPr>
              <w:overflowPunct w:val="0"/>
              <w:autoSpaceDE w:val="0"/>
              <w:autoSpaceDN w:val="0"/>
              <w:adjustRightInd w:val="0"/>
              <w:spacing w:after="0" w:line="240" w:lineRule="auto"/>
              <w:textAlignment w:val="baseline"/>
              <w:rPr>
                <w:rFonts w:ascii="Arial" w:hAnsi="Arial" w:cs="Arial"/>
              </w:rPr>
            </w:pPr>
          </w:p>
        </w:tc>
      </w:tr>
      <w:tr w:rsidR="00390FE1" w14:paraId="27A76399" w14:textId="77777777" w:rsidTr="003317CA">
        <w:tc>
          <w:tcPr>
            <w:tcW w:w="3403" w:type="dxa"/>
            <w:shd w:val="clear" w:color="auto" w:fill="D9D9D9"/>
          </w:tcPr>
          <w:p w14:paraId="1CC76029" w14:textId="77777777" w:rsidR="000D7528" w:rsidRPr="000D7528" w:rsidRDefault="000D7528" w:rsidP="0012134D">
            <w:pPr>
              <w:overflowPunct w:val="0"/>
              <w:autoSpaceDE w:val="0"/>
              <w:autoSpaceDN w:val="0"/>
              <w:adjustRightInd w:val="0"/>
              <w:spacing w:after="0" w:line="240" w:lineRule="auto"/>
              <w:contextualSpacing/>
              <w:textAlignment w:val="baseline"/>
              <w:rPr>
                <w:rFonts w:ascii="Arial" w:hAnsi="Arial" w:cs="Arial"/>
                <w:b/>
              </w:rPr>
            </w:pPr>
            <w:r w:rsidRPr="000D7528">
              <w:rPr>
                <w:rFonts w:ascii="Arial" w:hAnsi="Arial" w:cs="Arial"/>
                <w:b/>
              </w:rPr>
              <w:t>Dose and frequency of administration</w:t>
            </w:r>
          </w:p>
        </w:tc>
        <w:tc>
          <w:tcPr>
            <w:tcW w:w="6379" w:type="dxa"/>
            <w:shd w:val="clear" w:color="auto" w:fill="auto"/>
          </w:tcPr>
          <w:p w14:paraId="27C0B9DF" w14:textId="77777777" w:rsidR="000D7528" w:rsidRPr="00262BB2" w:rsidRDefault="00602DA3" w:rsidP="0012134D">
            <w:p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 xml:space="preserve">5mg once daily </w:t>
            </w:r>
          </w:p>
        </w:tc>
      </w:tr>
      <w:tr w:rsidR="00390FE1" w14:paraId="46C9E0A3" w14:textId="77777777" w:rsidTr="003317CA">
        <w:tc>
          <w:tcPr>
            <w:tcW w:w="3403" w:type="dxa"/>
            <w:shd w:val="clear" w:color="auto" w:fill="D9D9D9"/>
          </w:tcPr>
          <w:p w14:paraId="5BA4B847"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Duration of treatment</w:t>
            </w:r>
          </w:p>
        </w:tc>
        <w:tc>
          <w:tcPr>
            <w:tcW w:w="6379" w:type="dxa"/>
            <w:shd w:val="clear" w:color="auto" w:fill="auto"/>
          </w:tcPr>
          <w:p w14:paraId="593E5182" w14:textId="77777777" w:rsidR="000D7528" w:rsidRPr="00262BB2" w:rsidRDefault="00602DA3" w:rsidP="0012134D">
            <w:pPr>
              <w:widowControl w:val="0"/>
              <w:overflowPunct w:val="0"/>
              <w:autoSpaceDE w:val="0"/>
              <w:autoSpaceDN w:val="0"/>
              <w:adjustRightInd w:val="0"/>
              <w:spacing w:after="0" w:line="240" w:lineRule="auto"/>
              <w:textAlignment w:val="baseline"/>
              <w:rPr>
                <w:rFonts w:ascii="Arial" w:hAnsi="Arial" w:cs="Arial"/>
              </w:rPr>
            </w:pPr>
            <w:r w:rsidRPr="00602DA3">
              <w:rPr>
                <w:rFonts w:ascii="Arial" w:hAnsi="Arial" w:cs="Arial"/>
              </w:rPr>
              <w:t xml:space="preserve">To be taken </w:t>
            </w:r>
            <w:r w:rsidR="00B72888">
              <w:rPr>
                <w:rFonts w:ascii="Arial" w:hAnsi="Arial" w:cs="Arial"/>
              </w:rPr>
              <w:t xml:space="preserve">prior to conception (where possible) and continued </w:t>
            </w:r>
            <w:r w:rsidRPr="00602DA3">
              <w:rPr>
                <w:rFonts w:ascii="Arial" w:hAnsi="Arial" w:cs="Arial"/>
              </w:rPr>
              <w:t xml:space="preserve">throughout the </w:t>
            </w:r>
            <w:r w:rsidRPr="00602DA3">
              <w:rPr>
                <w:rFonts w:ascii="Arial" w:hAnsi="Arial" w:cs="Arial"/>
                <w:b/>
              </w:rPr>
              <w:t>first 12 weeks</w:t>
            </w:r>
            <w:r w:rsidRPr="00602DA3">
              <w:rPr>
                <w:rFonts w:ascii="Arial" w:hAnsi="Arial" w:cs="Arial"/>
              </w:rPr>
              <w:t xml:space="preserve"> of pregnancy </w:t>
            </w:r>
            <w:r w:rsidR="0027560B">
              <w:rPr>
                <w:rFonts w:ascii="Arial" w:hAnsi="Arial" w:cs="Arial"/>
              </w:rPr>
              <w:t xml:space="preserve">or </w:t>
            </w:r>
            <w:r w:rsidRPr="00602DA3">
              <w:rPr>
                <w:rFonts w:ascii="Arial" w:hAnsi="Arial" w:cs="Arial"/>
              </w:rPr>
              <w:t>continued t</w:t>
            </w:r>
            <w:r>
              <w:rPr>
                <w:rFonts w:ascii="Arial" w:hAnsi="Arial" w:cs="Arial"/>
              </w:rPr>
              <w:t xml:space="preserve">hroughout the </w:t>
            </w:r>
            <w:r w:rsidRPr="00602DA3">
              <w:rPr>
                <w:rFonts w:ascii="Arial" w:hAnsi="Arial" w:cs="Arial"/>
                <w:b/>
              </w:rPr>
              <w:t>entire pregnancy</w:t>
            </w:r>
            <w:r w:rsidR="0027560B">
              <w:rPr>
                <w:rFonts w:ascii="Arial" w:hAnsi="Arial" w:cs="Arial"/>
              </w:rPr>
              <w:t xml:space="preserve"> as defined in the inclusion criteria.  </w:t>
            </w:r>
          </w:p>
        </w:tc>
      </w:tr>
      <w:tr w:rsidR="00390FE1" w14:paraId="0B17D421" w14:textId="77777777" w:rsidTr="003317CA">
        <w:tc>
          <w:tcPr>
            <w:tcW w:w="3403" w:type="dxa"/>
            <w:shd w:val="clear" w:color="auto" w:fill="D9D9D9"/>
          </w:tcPr>
          <w:p w14:paraId="49BBA315"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 xml:space="preserve">Quantity to be supplied </w:t>
            </w:r>
          </w:p>
        </w:tc>
        <w:tc>
          <w:tcPr>
            <w:tcW w:w="6379" w:type="dxa"/>
            <w:shd w:val="clear" w:color="auto" w:fill="auto"/>
          </w:tcPr>
          <w:p w14:paraId="3E6C3C9D" w14:textId="77777777" w:rsidR="00B72888" w:rsidRDefault="00262BB2" w:rsidP="0012134D">
            <w:pPr>
              <w:overflowPunct w:val="0"/>
              <w:autoSpaceDE w:val="0"/>
              <w:autoSpaceDN w:val="0"/>
              <w:adjustRightInd w:val="0"/>
              <w:spacing w:after="0" w:line="240" w:lineRule="auto"/>
              <w:contextualSpacing/>
              <w:textAlignment w:val="baseline"/>
              <w:rPr>
                <w:rFonts w:ascii="Arial" w:hAnsi="Arial" w:cs="Arial"/>
                <w:highlight w:val="cyan"/>
              </w:rPr>
            </w:pPr>
            <w:r w:rsidRPr="00262BB2">
              <w:rPr>
                <w:rFonts w:ascii="Arial" w:hAnsi="Arial" w:cs="Arial"/>
                <w:highlight w:val="cyan"/>
              </w:rPr>
              <w:t>Supp</w:t>
            </w:r>
            <w:r w:rsidR="00FF2445">
              <w:rPr>
                <w:rFonts w:ascii="Arial" w:hAnsi="Arial" w:cs="Arial"/>
                <w:highlight w:val="cyan"/>
              </w:rPr>
              <w:t>ly</w:t>
            </w:r>
            <w:r w:rsidRPr="00262BB2">
              <w:rPr>
                <w:rFonts w:ascii="Arial" w:hAnsi="Arial" w:cs="Arial"/>
                <w:highlight w:val="cyan"/>
              </w:rPr>
              <w:t xml:space="preserve"> of appropriate labelled packs of 28x</w:t>
            </w:r>
            <w:r w:rsidR="00602DA3">
              <w:rPr>
                <w:rFonts w:ascii="Arial" w:hAnsi="Arial" w:cs="Arial"/>
                <w:highlight w:val="cyan"/>
              </w:rPr>
              <w:t>5</w:t>
            </w:r>
            <w:r w:rsidRPr="00262BB2">
              <w:rPr>
                <w:rFonts w:ascii="Arial" w:hAnsi="Arial" w:cs="Arial"/>
                <w:highlight w:val="cyan"/>
              </w:rPr>
              <w:t xml:space="preserve">mg tablets </w:t>
            </w:r>
            <w:r w:rsidR="0069351C">
              <w:rPr>
                <w:rFonts w:ascii="Arial" w:hAnsi="Arial" w:cs="Arial"/>
                <w:highlight w:val="cyan"/>
              </w:rPr>
              <w:t xml:space="preserve">can be made up to a maximum of </w:t>
            </w:r>
            <w:r w:rsidR="00B72888">
              <w:rPr>
                <w:rFonts w:ascii="Arial" w:hAnsi="Arial" w:cs="Arial"/>
                <w:highlight w:val="cyan"/>
              </w:rPr>
              <w:t xml:space="preserve">XXX packs.  </w:t>
            </w:r>
          </w:p>
          <w:p w14:paraId="595E20A9" w14:textId="77777777" w:rsidR="000D7528" w:rsidRPr="00262BB2" w:rsidRDefault="00FF2445" w:rsidP="0012134D">
            <w:pPr>
              <w:overflowPunct w:val="0"/>
              <w:autoSpaceDE w:val="0"/>
              <w:autoSpaceDN w:val="0"/>
              <w:adjustRightInd w:val="0"/>
              <w:spacing w:after="0" w:line="240" w:lineRule="auto"/>
              <w:contextualSpacing/>
              <w:textAlignment w:val="baseline"/>
              <w:rPr>
                <w:rFonts w:ascii="Arial" w:hAnsi="Arial" w:cs="Arial"/>
              </w:rPr>
            </w:pPr>
            <w:r w:rsidRPr="00FF2445">
              <w:rPr>
                <w:rFonts w:ascii="Arial" w:hAnsi="Arial" w:cs="Arial"/>
                <w:highlight w:val="cyan"/>
              </w:rPr>
              <w:lastRenderedPageBreak/>
              <w:t>Amend to reflect local supply agreement.</w:t>
            </w:r>
          </w:p>
        </w:tc>
      </w:tr>
      <w:tr w:rsidR="00390FE1" w14:paraId="4DDBF06D" w14:textId="77777777" w:rsidTr="003317CA">
        <w:tc>
          <w:tcPr>
            <w:tcW w:w="3403" w:type="dxa"/>
            <w:shd w:val="clear" w:color="auto" w:fill="D9D9D9"/>
          </w:tcPr>
          <w:p w14:paraId="2C31BC93"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lastRenderedPageBreak/>
              <w:t>Storage</w:t>
            </w:r>
          </w:p>
        </w:tc>
        <w:tc>
          <w:tcPr>
            <w:tcW w:w="6379" w:type="dxa"/>
            <w:shd w:val="clear" w:color="auto" w:fill="auto"/>
          </w:tcPr>
          <w:p w14:paraId="0B1C0AEE"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Medicines must be stored securely according to national guidelines.</w:t>
            </w:r>
          </w:p>
        </w:tc>
      </w:tr>
      <w:tr w:rsidR="00390FE1" w14:paraId="5C6C0C8F" w14:textId="77777777" w:rsidTr="003317CA">
        <w:tc>
          <w:tcPr>
            <w:tcW w:w="3403" w:type="dxa"/>
            <w:shd w:val="clear" w:color="auto" w:fill="D9D9D9"/>
          </w:tcPr>
          <w:p w14:paraId="09A366A2" w14:textId="77777777" w:rsidR="000D7528" w:rsidRPr="000D7528" w:rsidRDefault="000D7528" w:rsidP="0012134D">
            <w:pPr>
              <w:overflowPunct w:val="0"/>
              <w:autoSpaceDE w:val="0"/>
              <w:autoSpaceDN w:val="0"/>
              <w:adjustRightInd w:val="0"/>
              <w:spacing w:after="0" w:line="240" w:lineRule="auto"/>
              <w:textAlignment w:val="baseline"/>
              <w:rPr>
                <w:rFonts w:cs="Arial"/>
                <w:b/>
                <w:vertAlign w:val="superscript"/>
              </w:rPr>
            </w:pPr>
            <w:r w:rsidRPr="000D7528">
              <w:rPr>
                <w:rFonts w:ascii="Arial" w:hAnsi="Arial" w:cs="Arial"/>
                <w:b/>
              </w:rPr>
              <w:t>Drug interactions</w:t>
            </w:r>
          </w:p>
        </w:tc>
        <w:tc>
          <w:tcPr>
            <w:tcW w:w="6379" w:type="dxa"/>
            <w:shd w:val="clear" w:color="auto" w:fill="auto"/>
          </w:tcPr>
          <w:p w14:paraId="5CA510F1" w14:textId="77777777" w:rsidR="000D7528" w:rsidRPr="005B2595" w:rsidRDefault="00C82649" w:rsidP="0012134D">
            <w:pPr>
              <w:widowControl w:val="0"/>
              <w:spacing w:after="0" w:line="240" w:lineRule="auto"/>
              <w:rPr>
                <w:rFonts w:ascii="Arial" w:eastAsia="Arial" w:hAnsi="Arial" w:cs="Arial"/>
                <w:color w:val="0000FF"/>
                <w:u w:val="single"/>
              </w:rPr>
            </w:pPr>
            <w:r w:rsidRPr="005B2595">
              <w:rPr>
                <w:rFonts w:ascii="Arial" w:hAnsi="Arial" w:cs="Arial"/>
                <w:b/>
                <w:color w:val="000000"/>
              </w:rPr>
              <w:t>All concurrent medications must be checked for interactions.</w:t>
            </w:r>
            <w:r w:rsidRPr="005B2595">
              <w:rPr>
                <w:rFonts w:ascii="Arial" w:hAnsi="Arial" w:cs="Arial"/>
                <w:color w:val="000000"/>
              </w:rPr>
              <w:t xml:space="preserve">  </w:t>
            </w:r>
            <w:r w:rsidR="000D7528" w:rsidRPr="005B2595">
              <w:rPr>
                <w:rFonts w:ascii="Arial" w:hAnsi="Arial" w:cs="Arial"/>
                <w:color w:val="000000"/>
              </w:rPr>
              <w:t xml:space="preserve">A detailed list of drug interactions is available in the individual product SPC, which is available from the electronic Medicines Compendium website </w:t>
            </w:r>
            <w:r w:rsidR="000D7528" w:rsidRPr="005B2595">
              <w:rPr>
                <w:rFonts w:ascii="Arial" w:eastAsia="Arial" w:hAnsi="Arial" w:cs="Arial"/>
                <w:color w:val="0000FF"/>
                <w:u w:val="single"/>
              </w:rPr>
              <w:t>www.medicines.org.uk</w:t>
            </w:r>
            <w:r w:rsidR="000D7528" w:rsidRPr="005B2595">
              <w:rPr>
                <w:rFonts w:ascii="Arial" w:eastAsia="Arial" w:hAnsi="Arial" w:cs="Arial"/>
                <w:color w:val="000000"/>
              </w:rPr>
              <w:t xml:space="preserve"> the BNF</w:t>
            </w:r>
            <w:r w:rsidR="000D7528" w:rsidRPr="005B2595">
              <w:rPr>
                <w:rFonts w:ascii="Arial" w:eastAsia="Arial" w:hAnsi="Arial" w:cs="Arial"/>
                <w:color w:val="000000"/>
                <w:u w:val="single"/>
              </w:rPr>
              <w:t xml:space="preserve"> </w:t>
            </w:r>
            <w:hyperlink r:id="rId16" w:history="1">
              <w:r w:rsidR="000D7528" w:rsidRPr="005B2595">
                <w:rPr>
                  <w:rFonts w:ascii="Arial" w:eastAsia="Arial" w:hAnsi="Arial" w:cs="Arial"/>
                  <w:color w:val="0000FF"/>
                  <w:u w:val="single"/>
                </w:rPr>
                <w:t>www.bnf.org</w:t>
              </w:r>
            </w:hyperlink>
            <w:r w:rsidR="000D7528" w:rsidRPr="005B2595">
              <w:rPr>
                <w:rFonts w:ascii="Arial" w:eastAsia="Arial" w:hAnsi="Arial" w:cs="Arial"/>
                <w:color w:val="0000FF"/>
                <w:u w:val="single"/>
              </w:rPr>
              <w:t xml:space="preserve"> </w:t>
            </w:r>
          </w:p>
          <w:p w14:paraId="4387E151" w14:textId="77777777" w:rsidR="00B72888" w:rsidRPr="005B2595" w:rsidRDefault="00B72888" w:rsidP="0012134D">
            <w:pPr>
              <w:widowControl w:val="0"/>
              <w:spacing w:after="0" w:line="240" w:lineRule="auto"/>
              <w:rPr>
                <w:rFonts w:ascii="Arial" w:eastAsia="Arial" w:hAnsi="Arial" w:cs="Arial"/>
                <w:color w:val="0000FF"/>
                <w:u w:val="single"/>
              </w:rPr>
            </w:pPr>
          </w:p>
          <w:p w14:paraId="4EDBAC41" w14:textId="77777777" w:rsidR="00B72888" w:rsidRPr="00B72888" w:rsidRDefault="00D84D1E" w:rsidP="0012134D">
            <w:pPr>
              <w:widowControl w:val="0"/>
              <w:spacing w:after="0" w:line="240" w:lineRule="auto"/>
              <w:rPr>
                <w:rFonts w:ascii="Arial" w:hAnsi="Arial" w:cs="Arial"/>
              </w:rPr>
            </w:pPr>
            <w:r w:rsidRPr="005B2595">
              <w:rPr>
                <w:rFonts w:ascii="Arial" w:hAnsi="Arial" w:cs="Arial"/>
              </w:rPr>
              <w:t>Where a clinically significant interaction is identified discuss with appropriate prescriber.</w:t>
            </w:r>
          </w:p>
        </w:tc>
      </w:tr>
      <w:tr w:rsidR="00390FE1" w14:paraId="04FC9D4D" w14:textId="77777777" w:rsidTr="003317CA">
        <w:tc>
          <w:tcPr>
            <w:tcW w:w="3403" w:type="dxa"/>
            <w:shd w:val="clear" w:color="auto" w:fill="D9D9D9"/>
          </w:tcPr>
          <w:p w14:paraId="382AA6B6"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Identification &amp; management of adverse reactions</w:t>
            </w:r>
          </w:p>
        </w:tc>
        <w:tc>
          <w:tcPr>
            <w:tcW w:w="6379" w:type="dxa"/>
            <w:shd w:val="clear" w:color="auto" w:fill="auto"/>
          </w:tcPr>
          <w:p w14:paraId="574A6903" w14:textId="77777777" w:rsidR="000D7528" w:rsidRPr="000D7528" w:rsidRDefault="000D7528" w:rsidP="0012134D">
            <w:pPr>
              <w:widowControl w:val="0"/>
              <w:spacing w:after="0" w:line="240" w:lineRule="auto"/>
              <w:rPr>
                <w:rFonts w:ascii="Arial" w:hAnsi="Arial" w:cs="Arial"/>
              </w:rPr>
            </w:pPr>
            <w:r w:rsidRPr="000D7528">
              <w:rPr>
                <w:rFonts w:ascii="Arial" w:hAnsi="Arial" w:cs="Arial"/>
              </w:rPr>
              <w:t xml:space="preserve">A detailed list of adverse reactions is available in the SPC, which is available from the electronic Medicines Compendium website: </w:t>
            </w:r>
            <w:hyperlink r:id="rId17" w:history="1">
              <w:r w:rsidRPr="000D7528">
                <w:rPr>
                  <w:rFonts w:ascii="Arial" w:hAnsi="Arial" w:cs="Arial"/>
                  <w:color w:val="0000FF"/>
                  <w:u w:val="single"/>
                </w:rPr>
                <w:t>www.medicines.org.uk</w:t>
              </w:r>
            </w:hyperlink>
            <w:r w:rsidRPr="000D7528">
              <w:rPr>
                <w:rFonts w:ascii="Arial" w:hAnsi="Arial" w:cs="Arial"/>
              </w:rPr>
              <w:t xml:space="preserve"> and BNF </w:t>
            </w:r>
            <w:hyperlink r:id="rId18" w:history="1">
              <w:r w:rsidRPr="000D7528">
                <w:rPr>
                  <w:rFonts w:ascii="Arial" w:hAnsi="Arial" w:cs="Arial"/>
                  <w:color w:val="0000FF"/>
                  <w:u w:val="single"/>
                </w:rPr>
                <w:t>www.bnf.org</w:t>
              </w:r>
            </w:hyperlink>
            <w:r w:rsidRPr="000D7528">
              <w:rPr>
                <w:rFonts w:ascii="Arial" w:hAnsi="Arial" w:cs="Arial"/>
              </w:rPr>
              <w:t xml:space="preserve">  </w:t>
            </w:r>
          </w:p>
          <w:p w14:paraId="5CAB6A36" w14:textId="77777777" w:rsidR="000D7528" w:rsidRPr="000D7528" w:rsidRDefault="000D7528" w:rsidP="0012134D">
            <w:pPr>
              <w:widowControl w:val="0"/>
              <w:spacing w:after="0" w:line="240" w:lineRule="auto"/>
              <w:rPr>
                <w:rFonts w:ascii="Arial" w:hAnsi="Arial" w:cs="Arial"/>
              </w:rPr>
            </w:pPr>
          </w:p>
          <w:p w14:paraId="37167674" w14:textId="77777777" w:rsidR="000D7528" w:rsidRPr="000D7528" w:rsidRDefault="000D7528" w:rsidP="0012134D">
            <w:pPr>
              <w:widowControl w:val="0"/>
              <w:spacing w:after="0" w:line="240" w:lineRule="auto"/>
              <w:rPr>
                <w:rFonts w:ascii="Arial" w:hAnsi="Arial" w:cs="Arial"/>
              </w:rPr>
            </w:pPr>
            <w:r w:rsidRPr="000D7528">
              <w:rPr>
                <w:rFonts w:ascii="Arial" w:hAnsi="Arial" w:cs="Arial"/>
              </w:rPr>
              <w:t xml:space="preserve">The following possible adverse effects are </w:t>
            </w:r>
            <w:r w:rsidR="00B72888">
              <w:rPr>
                <w:rFonts w:ascii="Arial" w:hAnsi="Arial" w:cs="Arial"/>
              </w:rPr>
              <w:t xml:space="preserve">rarely </w:t>
            </w:r>
            <w:r w:rsidRPr="000D7528">
              <w:rPr>
                <w:rFonts w:ascii="Arial" w:hAnsi="Arial" w:cs="Arial"/>
              </w:rPr>
              <w:t>reported with</w:t>
            </w:r>
            <w:r w:rsidRPr="000D7528">
              <w:rPr>
                <w:lang w:val="en-US"/>
              </w:rPr>
              <w:t xml:space="preserve"> </w:t>
            </w:r>
            <w:r w:rsidR="00B72888">
              <w:rPr>
                <w:rFonts w:ascii="Arial" w:hAnsi="Arial" w:cs="Arial"/>
              </w:rPr>
              <w:t>folic acid</w:t>
            </w:r>
            <w:r w:rsidR="005256FA">
              <w:rPr>
                <w:rFonts w:ascii="Arial" w:hAnsi="Arial" w:cs="Arial"/>
              </w:rPr>
              <w:t xml:space="preserve"> </w:t>
            </w:r>
            <w:r w:rsidRPr="000D7528">
              <w:rPr>
                <w:rFonts w:ascii="Arial" w:hAnsi="Arial" w:cs="Arial"/>
              </w:rPr>
              <w:t>(but may not reflect all reported adverse effects):</w:t>
            </w:r>
          </w:p>
          <w:p w14:paraId="73CB1C00" w14:textId="77777777" w:rsidR="00B72888" w:rsidRPr="00B72888" w:rsidRDefault="00B72888" w:rsidP="0012134D">
            <w:pPr>
              <w:widowControl w:val="0"/>
              <w:numPr>
                <w:ilvl w:val="0"/>
                <w:numId w:val="41"/>
              </w:numPr>
              <w:overflowPunct w:val="0"/>
              <w:autoSpaceDE w:val="0"/>
              <w:autoSpaceDN w:val="0"/>
              <w:adjustRightInd w:val="0"/>
              <w:spacing w:after="0" w:line="240" w:lineRule="auto"/>
              <w:textAlignment w:val="baseline"/>
              <w:rPr>
                <w:rFonts w:ascii="Arial" w:hAnsi="Arial" w:cs="Arial"/>
              </w:rPr>
            </w:pPr>
            <w:r w:rsidRPr="00B72888">
              <w:rPr>
                <w:rFonts w:ascii="Arial" w:hAnsi="Arial" w:cs="Arial"/>
              </w:rPr>
              <w:t>Abdominal distension</w:t>
            </w:r>
          </w:p>
          <w:p w14:paraId="51FE205D" w14:textId="77777777" w:rsidR="00B72888" w:rsidRPr="00B72888" w:rsidRDefault="00B72888" w:rsidP="0012134D">
            <w:pPr>
              <w:widowControl w:val="0"/>
              <w:numPr>
                <w:ilvl w:val="0"/>
                <w:numId w:val="41"/>
              </w:numPr>
              <w:overflowPunct w:val="0"/>
              <w:autoSpaceDE w:val="0"/>
              <w:autoSpaceDN w:val="0"/>
              <w:adjustRightInd w:val="0"/>
              <w:spacing w:after="0" w:line="240" w:lineRule="auto"/>
              <w:textAlignment w:val="baseline"/>
              <w:rPr>
                <w:rFonts w:ascii="Arial" w:hAnsi="Arial" w:cs="Arial"/>
              </w:rPr>
            </w:pPr>
            <w:r w:rsidRPr="00B72888">
              <w:rPr>
                <w:rFonts w:ascii="Arial" w:hAnsi="Arial" w:cs="Arial"/>
              </w:rPr>
              <w:t>Decreased appetite</w:t>
            </w:r>
          </w:p>
          <w:p w14:paraId="1D2C6D13" w14:textId="77777777" w:rsidR="00B72888" w:rsidRPr="00B72888" w:rsidRDefault="00B72888" w:rsidP="0012134D">
            <w:pPr>
              <w:widowControl w:val="0"/>
              <w:numPr>
                <w:ilvl w:val="0"/>
                <w:numId w:val="41"/>
              </w:numPr>
              <w:overflowPunct w:val="0"/>
              <w:autoSpaceDE w:val="0"/>
              <w:autoSpaceDN w:val="0"/>
              <w:adjustRightInd w:val="0"/>
              <w:spacing w:after="0" w:line="240" w:lineRule="auto"/>
              <w:textAlignment w:val="baseline"/>
              <w:rPr>
                <w:rFonts w:ascii="Arial" w:hAnsi="Arial" w:cs="Arial"/>
              </w:rPr>
            </w:pPr>
            <w:r w:rsidRPr="00B72888">
              <w:rPr>
                <w:rFonts w:ascii="Arial" w:hAnsi="Arial" w:cs="Arial"/>
              </w:rPr>
              <w:t>Flatulence</w:t>
            </w:r>
          </w:p>
          <w:p w14:paraId="4C612AD9" w14:textId="77777777" w:rsidR="00B72888" w:rsidRPr="00B72888" w:rsidRDefault="00B72888" w:rsidP="0012134D">
            <w:pPr>
              <w:widowControl w:val="0"/>
              <w:numPr>
                <w:ilvl w:val="0"/>
                <w:numId w:val="41"/>
              </w:numPr>
              <w:overflowPunct w:val="0"/>
              <w:autoSpaceDE w:val="0"/>
              <w:autoSpaceDN w:val="0"/>
              <w:adjustRightInd w:val="0"/>
              <w:spacing w:after="0" w:line="240" w:lineRule="auto"/>
              <w:textAlignment w:val="baseline"/>
              <w:rPr>
                <w:rFonts w:ascii="Arial" w:hAnsi="Arial" w:cs="Arial"/>
              </w:rPr>
            </w:pPr>
            <w:r w:rsidRPr="00B72888">
              <w:rPr>
                <w:rFonts w:ascii="Arial" w:hAnsi="Arial" w:cs="Arial"/>
              </w:rPr>
              <w:t>Nausea</w:t>
            </w:r>
          </w:p>
          <w:p w14:paraId="46B5A278" w14:textId="77777777" w:rsidR="00B72888" w:rsidRPr="00B72888" w:rsidRDefault="00B72888" w:rsidP="0012134D">
            <w:pPr>
              <w:widowControl w:val="0"/>
              <w:numPr>
                <w:ilvl w:val="0"/>
                <w:numId w:val="41"/>
              </w:numPr>
              <w:overflowPunct w:val="0"/>
              <w:autoSpaceDE w:val="0"/>
              <w:autoSpaceDN w:val="0"/>
              <w:adjustRightInd w:val="0"/>
              <w:spacing w:after="0" w:line="240" w:lineRule="auto"/>
              <w:textAlignment w:val="baseline"/>
              <w:rPr>
                <w:rFonts w:ascii="Arial" w:hAnsi="Arial" w:cs="Arial"/>
              </w:rPr>
            </w:pPr>
            <w:r w:rsidRPr="00B72888">
              <w:rPr>
                <w:rFonts w:ascii="Arial" w:hAnsi="Arial" w:cs="Arial"/>
              </w:rPr>
              <w:t>Vitamin B12 deficiency exacerbated</w:t>
            </w:r>
          </w:p>
          <w:p w14:paraId="4126B50D" w14:textId="77777777" w:rsidR="000D7528" w:rsidRPr="00262BB2" w:rsidRDefault="00B72888" w:rsidP="0012134D">
            <w:pPr>
              <w:widowControl w:val="0"/>
              <w:numPr>
                <w:ilvl w:val="0"/>
                <w:numId w:val="41"/>
              </w:numPr>
              <w:overflowPunct w:val="0"/>
              <w:autoSpaceDE w:val="0"/>
              <w:autoSpaceDN w:val="0"/>
              <w:adjustRightInd w:val="0"/>
              <w:spacing w:after="0" w:line="240" w:lineRule="auto"/>
              <w:textAlignment w:val="baseline"/>
              <w:rPr>
                <w:rFonts w:ascii="Arial" w:hAnsi="Arial" w:cs="Arial"/>
              </w:rPr>
            </w:pPr>
            <w:r w:rsidRPr="00B72888">
              <w:rPr>
                <w:rFonts w:ascii="Arial" w:hAnsi="Arial" w:cs="Arial"/>
              </w:rPr>
              <w:t>Skin reaction – erythema, rash, pruritis, urticaria</w:t>
            </w:r>
          </w:p>
        </w:tc>
      </w:tr>
      <w:tr w:rsidR="00390FE1" w14:paraId="1E577BBF" w14:textId="77777777" w:rsidTr="003317CA">
        <w:tc>
          <w:tcPr>
            <w:tcW w:w="3403" w:type="dxa"/>
            <w:shd w:val="clear" w:color="auto" w:fill="D9D9D9"/>
          </w:tcPr>
          <w:p w14:paraId="6A2B43D3"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Management of and reporting procedure for adverse reactions</w:t>
            </w:r>
          </w:p>
        </w:tc>
        <w:tc>
          <w:tcPr>
            <w:tcW w:w="6379" w:type="dxa"/>
            <w:shd w:val="clear" w:color="auto" w:fill="auto"/>
          </w:tcPr>
          <w:p w14:paraId="18D5DFFA" w14:textId="77777777" w:rsidR="00262BB2" w:rsidRPr="00262BB2" w:rsidRDefault="00262BB2" w:rsidP="0012134D">
            <w:pPr>
              <w:numPr>
                <w:ilvl w:val="0"/>
                <w:numId w:val="42"/>
              </w:numPr>
              <w:spacing w:after="0" w:line="240" w:lineRule="auto"/>
              <w:rPr>
                <w:rFonts w:ascii="Arial" w:eastAsia="Arial" w:hAnsi="Arial" w:cs="Arial"/>
              </w:rPr>
            </w:pPr>
            <w:r w:rsidRPr="00262BB2">
              <w:rPr>
                <w:rFonts w:ascii="Arial" w:eastAsia="Arial" w:hAnsi="Arial" w:cs="Arial"/>
              </w:rPr>
              <w:t xml:space="preserve">Any </w:t>
            </w:r>
            <w:r>
              <w:rPr>
                <w:rFonts w:ascii="Arial" w:eastAsia="Arial" w:hAnsi="Arial" w:cs="Arial"/>
              </w:rPr>
              <w:t>individual</w:t>
            </w:r>
            <w:r w:rsidRPr="00262BB2">
              <w:rPr>
                <w:rFonts w:ascii="Arial" w:eastAsia="Arial" w:hAnsi="Arial" w:cs="Arial"/>
              </w:rPr>
              <w:t xml:space="preserve"> experiencing mild side effects should contact </w:t>
            </w:r>
            <w:r>
              <w:rPr>
                <w:rFonts w:ascii="Arial" w:eastAsia="Arial" w:hAnsi="Arial" w:cs="Arial"/>
              </w:rPr>
              <w:t xml:space="preserve">their </w:t>
            </w:r>
            <w:r w:rsidRPr="00262BB2">
              <w:rPr>
                <w:rFonts w:ascii="Arial" w:eastAsia="Arial" w:hAnsi="Arial" w:cs="Arial"/>
              </w:rPr>
              <w:t>community midwife i</w:t>
            </w:r>
            <w:r>
              <w:rPr>
                <w:rFonts w:ascii="Arial" w:eastAsia="Arial" w:hAnsi="Arial" w:cs="Arial"/>
              </w:rPr>
              <w:t>n the first instance for advice – where</w:t>
            </w:r>
            <w:r w:rsidR="00FA4CB4">
              <w:rPr>
                <w:rFonts w:ascii="Arial" w:eastAsia="Arial" w:hAnsi="Arial" w:cs="Arial"/>
              </w:rPr>
              <w:t>,</w:t>
            </w:r>
            <w:r>
              <w:rPr>
                <w:rFonts w:ascii="Arial" w:eastAsia="Arial" w:hAnsi="Arial" w:cs="Arial"/>
              </w:rPr>
              <w:t xml:space="preserve"> </w:t>
            </w:r>
            <w:r w:rsidR="00FA4CB4">
              <w:rPr>
                <w:rFonts w:ascii="Arial" w:eastAsia="Arial" w:hAnsi="Arial" w:cs="Arial"/>
              </w:rPr>
              <w:t xml:space="preserve">if </w:t>
            </w:r>
            <w:r>
              <w:rPr>
                <w:rFonts w:ascii="Arial" w:eastAsia="Arial" w:hAnsi="Arial" w:cs="Arial"/>
              </w:rPr>
              <w:t>clinically necessary</w:t>
            </w:r>
            <w:r w:rsidR="00FA4CB4">
              <w:rPr>
                <w:rFonts w:ascii="Arial" w:eastAsia="Arial" w:hAnsi="Arial" w:cs="Arial"/>
              </w:rPr>
              <w:t>,</w:t>
            </w:r>
            <w:r>
              <w:rPr>
                <w:rFonts w:ascii="Arial" w:eastAsia="Arial" w:hAnsi="Arial" w:cs="Arial"/>
              </w:rPr>
              <w:t xml:space="preserve"> the midwife should advise on any need for immediate discontinuation and refer to a specialist clinician for further advice.  </w:t>
            </w:r>
          </w:p>
          <w:p w14:paraId="5FFE49FE" w14:textId="77777777" w:rsidR="000D7528" w:rsidRPr="000D7528" w:rsidRDefault="000D7528" w:rsidP="0012134D">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19"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39697CC0" w14:textId="77777777" w:rsidR="000D7528" w:rsidRPr="000D7528" w:rsidRDefault="000D7528" w:rsidP="0012134D">
            <w:pPr>
              <w:widowControl w:val="0"/>
              <w:numPr>
                <w:ilvl w:val="0"/>
                <w:numId w:val="42"/>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Record all adverse drug reactions (ADRs) in the patient’s medical record.</w:t>
            </w:r>
          </w:p>
          <w:p w14:paraId="1EE3A5AC" w14:textId="77777777" w:rsidR="000D7528" w:rsidRPr="000D7528" w:rsidRDefault="000D7528" w:rsidP="0012134D">
            <w:pPr>
              <w:widowControl w:val="0"/>
              <w:numPr>
                <w:ilvl w:val="0"/>
                <w:numId w:val="42"/>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Report via organisation incident policy.</w:t>
            </w:r>
          </w:p>
        </w:tc>
      </w:tr>
      <w:tr w:rsidR="00390FE1" w14:paraId="48380E30" w14:textId="77777777" w:rsidTr="003317CA">
        <w:tc>
          <w:tcPr>
            <w:tcW w:w="3403" w:type="dxa"/>
            <w:shd w:val="clear" w:color="auto" w:fill="D9D9D9"/>
          </w:tcPr>
          <w:p w14:paraId="1D331413"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szCs w:val="20"/>
              </w:rPr>
              <w:br w:type="page"/>
            </w:r>
            <w:r w:rsidRPr="000D7528">
              <w:rPr>
                <w:szCs w:val="20"/>
              </w:rPr>
              <w:br w:type="page"/>
            </w:r>
            <w:r w:rsidRPr="000D7528">
              <w:rPr>
                <w:rFonts w:ascii="Arial" w:hAnsi="Arial" w:cs="Arial"/>
                <w:b/>
              </w:rPr>
              <w:t xml:space="preserve">Written information and further advice to be given to individual </w:t>
            </w:r>
          </w:p>
        </w:tc>
        <w:tc>
          <w:tcPr>
            <w:tcW w:w="6379" w:type="dxa"/>
            <w:shd w:val="clear" w:color="auto" w:fill="auto"/>
          </w:tcPr>
          <w:p w14:paraId="4B95CD88" w14:textId="77777777" w:rsidR="000D7528" w:rsidRPr="000D7528" w:rsidRDefault="000D7528" w:rsidP="0012134D">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 xml:space="preserve">Provide patient information leaflet (PIL) provided with the original pack. </w:t>
            </w:r>
          </w:p>
          <w:p w14:paraId="4CFAAFD3" w14:textId="77777777" w:rsidR="000D7528" w:rsidRPr="006735EC" w:rsidRDefault="000D7528" w:rsidP="0012134D">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Explain mode of action, side effects, and benefits of the medicine</w:t>
            </w:r>
          </w:p>
        </w:tc>
      </w:tr>
      <w:tr w:rsidR="00390FE1" w14:paraId="5DB48949" w14:textId="77777777" w:rsidTr="003317CA">
        <w:tblPrEx>
          <w:tblLook w:val="0000" w:firstRow="0" w:lastRow="0" w:firstColumn="0" w:lastColumn="0" w:noHBand="0" w:noVBand="0"/>
        </w:tblPrEx>
        <w:tc>
          <w:tcPr>
            <w:tcW w:w="3403" w:type="dxa"/>
            <w:shd w:val="clear" w:color="auto" w:fill="D9D9D9"/>
          </w:tcPr>
          <w:p w14:paraId="29852DCB"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Advice / follow up treatment</w:t>
            </w:r>
          </w:p>
        </w:tc>
        <w:tc>
          <w:tcPr>
            <w:tcW w:w="6379" w:type="dxa"/>
            <w:shd w:val="clear" w:color="auto" w:fill="auto"/>
          </w:tcPr>
          <w:p w14:paraId="753A7CDD" w14:textId="77777777" w:rsidR="000D7528" w:rsidRPr="000D7528" w:rsidRDefault="000D7528" w:rsidP="0012134D">
            <w:pPr>
              <w:numPr>
                <w:ilvl w:val="0"/>
                <w:numId w:val="42"/>
              </w:numPr>
              <w:overflowPunct w:val="0"/>
              <w:autoSpaceDE w:val="0"/>
              <w:autoSpaceDN w:val="0"/>
              <w:adjustRightInd w:val="0"/>
              <w:spacing w:after="0" w:line="240" w:lineRule="auto"/>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5FD52C5C" w14:textId="77777777" w:rsidR="000D7528" w:rsidRPr="000D7528" w:rsidRDefault="000D7528" w:rsidP="0012134D">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 xml:space="preserve">Individual to seek further advice if </w:t>
            </w:r>
            <w:r w:rsidR="00FA4CB4">
              <w:rPr>
                <w:rFonts w:ascii="Arial" w:eastAsia="Arial" w:hAnsi="Arial" w:cs="Arial"/>
              </w:rPr>
              <w:t>they</w:t>
            </w:r>
            <w:r w:rsidR="00FA4CB4" w:rsidRPr="000D7528">
              <w:rPr>
                <w:rFonts w:ascii="Arial" w:eastAsia="Arial" w:hAnsi="Arial" w:cs="Arial"/>
              </w:rPr>
              <w:t xml:space="preserve"> </w:t>
            </w:r>
            <w:r w:rsidRPr="000D7528">
              <w:rPr>
                <w:rFonts w:ascii="Arial" w:eastAsia="Arial" w:hAnsi="Arial" w:cs="Arial"/>
              </w:rPr>
              <w:t>ha</w:t>
            </w:r>
            <w:r w:rsidR="00FA4CB4">
              <w:rPr>
                <w:rFonts w:ascii="Arial" w:eastAsia="Arial" w:hAnsi="Arial" w:cs="Arial"/>
              </w:rPr>
              <w:t>ve</w:t>
            </w:r>
            <w:r w:rsidRPr="000D7528">
              <w:rPr>
                <w:rFonts w:ascii="Arial" w:eastAsia="Arial" w:hAnsi="Arial" w:cs="Arial"/>
              </w:rPr>
              <w:t xml:space="preserve"> any concerns</w:t>
            </w:r>
          </w:p>
          <w:p w14:paraId="1013ABDA" w14:textId="77777777" w:rsidR="000D7528" w:rsidRPr="000D7528" w:rsidRDefault="0052487A" w:rsidP="0012134D">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 xml:space="preserve">Follow up appointments should be arranged as per local policy.  </w:t>
            </w:r>
            <w:r w:rsidRPr="000D7528">
              <w:rPr>
                <w:rFonts w:ascii="Arial" w:eastAsia="Arial" w:hAnsi="Arial" w:cs="Arial"/>
              </w:rPr>
              <w:t xml:space="preserve">  </w:t>
            </w:r>
          </w:p>
        </w:tc>
      </w:tr>
      <w:tr w:rsidR="00390FE1" w14:paraId="61AE8C48" w14:textId="77777777" w:rsidTr="003317CA">
        <w:tblPrEx>
          <w:tblLook w:val="0000" w:firstRow="0" w:lastRow="0" w:firstColumn="0" w:lastColumn="0" w:noHBand="0" w:noVBand="0"/>
        </w:tblPrEx>
        <w:tc>
          <w:tcPr>
            <w:tcW w:w="3403" w:type="dxa"/>
            <w:shd w:val="clear" w:color="auto" w:fill="D9D9D9"/>
          </w:tcPr>
          <w:p w14:paraId="72038D1C"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Records</w:t>
            </w:r>
          </w:p>
        </w:tc>
        <w:tc>
          <w:tcPr>
            <w:tcW w:w="6379" w:type="dxa"/>
            <w:shd w:val="clear" w:color="auto" w:fill="auto"/>
          </w:tcPr>
          <w:p w14:paraId="0D4951FA" w14:textId="77777777" w:rsidR="005554A2" w:rsidRPr="005554A2" w:rsidRDefault="005554A2" w:rsidP="0012134D">
            <w:pPr>
              <w:widowControl w:val="0"/>
              <w:overflowPunct w:val="0"/>
              <w:autoSpaceDE w:val="0"/>
              <w:autoSpaceDN w:val="0"/>
              <w:adjustRightInd w:val="0"/>
              <w:spacing w:after="0" w:line="240" w:lineRule="auto"/>
              <w:contextualSpacing/>
              <w:textAlignment w:val="baseline"/>
              <w:rPr>
                <w:rFonts w:ascii="Arial" w:hAnsi="Arial" w:cs="Arial"/>
                <w:color w:val="000000"/>
                <w:sz w:val="20"/>
              </w:rPr>
            </w:pPr>
            <w:r w:rsidRPr="005554A2">
              <w:rPr>
                <w:rFonts w:ascii="Arial" w:hAnsi="Arial" w:cs="Arial"/>
                <w:b/>
              </w:rPr>
              <w:t xml:space="preserve">Record: </w:t>
            </w:r>
          </w:p>
          <w:p w14:paraId="50DA9F63" w14:textId="77777777" w:rsidR="005554A2" w:rsidRPr="00E136C7" w:rsidRDefault="005554A2" w:rsidP="00E136C7">
            <w:pPr>
              <w:pStyle w:val="ListParagraph"/>
              <w:widowControl w:val="0"/>
              <w:numPr>
                <w:ilvl w:val="0"/>
                <w:numId w:val="48"/>
              </w:numPr>
              <w:overflowPunct w:val="0"/>
              <w:autoSpaceDE w:val="0"/>
              <w:autoSpaceDN w:val="0"/>
              <w:adjustRightInd w:val="0"/>
              <w:spacing w:after="0" w:line="240" w:lineRule="auto"/>
              <w:textAlignment w:val="baseline"/>
              <w:rPr>
                <w:rFonts w:ascii="Arial" w:hAnsi="Arial" w:cs="Arial"/>
                <w:color w:val="000000"/>
              </w:rPr>
            </w:pPr>
            <w:r w:rsidRPr="00E136C7">
              <w:rPr>
                <w:rFonts w:ascii="Arial" w:hAnsi="Arial" w:cs="Arial"/>
                <w:color w:val="000000"/>
              </w:rPr>
              <w:t>The consent of the individual and</w:t>
            </w:r>
          </w:p>
          <w:p w14:paraId="6E218250" w14:textId="77777777" w:rsidR="005554A2" w:rsidRPr="005554A2" w:rsidRDefault="005554A2" w:rsidP="0012134D">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sidRPr="005554A2">
              <w:rPr>
                <w:rFonts w:ascii="Arial" w:hAnsi="Arial" w:cs="Arial"/>
                <w:color w:val="000000"/>
              </w:rPr>
              <w:t xml:space="preserve">If individual is under 16 years of age document </w:t>
            </w:r>
            <w:r w:rsidRPr="005554A2">
              <w:rPr>
                <w:rFonts w:ascii="Arial" w:hAnsi="Arial" w:cs="Arial"/>
                <w:color w:val="000000"/>
              </w:rPr>
              <w:lastRenderedPageBreak/>
              <w:t xml:space="preserve">capacity using Fraser guidelines.  If not competent record action taken.  </w:t>
            </w:r>
          </w:p>
          <w:p w14:paraId="16911FBD" w14:textId="77777777" w:rsidR="005554A2" w:rsidRPr="005554A2" w:rsidRDefault="005554A2" w:rsidP="0012134D">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sidRPr="005554A2">
              <w:rPr>
                <w:rFonts w:ascii="Arial" w:hAnsi="Arial" w:cs="Arial"/>
                <w:color w:val="000000"/>
              </w:rPr>
              <w:t>If individual over 16 years of age and not competent, record action taken</w:t>
            </w:r>
          </w:p>
          <w:p w14:paraId="587B660F"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Name of individual, address, date of birth </w:t>
            </w:r>
          </w:p>
          <w:p w14:paraId="11072378"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0D7528">
              <w:rPr>
                <w:rFonts w:ascii="Arial" w:hAnsi="Arial" w:cs="Arial"/>
                <w:color w:val="000000"/>
              </w:rPr>
              <w:t>GP contact details where appropriate</w:t>
            </w:r>
          </w:p>
          <w:p w14:paraId="59E87A26"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Relevant past and present medical history, including medication and family history. </w:t>
            </w:r>
          </w:p>
          <w:p w14:paraId="46A2EF8D"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Examination finding where relevant </w:t>
            </w:r>
          </w:p>
          <w:p w14:paraId="73CCD5B4"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Any known allergies</w:t>
            </w:r>
          </w:p>
          <w:p w14:paraId="142F404C"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Name of registered health professional</w:t>
            </w:r>
          </w:p>
          <w:p w14:paraId="73C25848"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Name of medication supplied </w:t>
            </w:r>
          </w:p>
          <w:p w14:paraId="01C1B699"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Date of supply</w:t>
            </w:r>
          </w:p>
          <w:p w14:paraId="7F86C98B"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0D7528">
              <w:rPr>
                <w:rFonts w:ascii="Arial" w:hAnsi="Arial" w:cs="Arial"/>
                <w:color w:val="000000"/>
              </w:rPr>
              <w:t>Dose supplied</w:t>
            </w:r>
          </w:p>
          <w:p w14:paraId="70EEE204"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Quantity supplied</w:t>
            </w:r>
          </w:p>
          <w:p w14:paraId="1761A26D"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Advice given, including advice given if excluded or declines treatment</w:t>
            </w:r>
          </w:p>
          <w:p w14:paraId="17A0E387"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Details of any adverse drug reactions and actions taken</w:t>
            </w:r>
          </w:p>
          <w:p w14:paraId="124560CD"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Advice given about the medication including side effects, benefits, and when and what to do if any concerns </w:t>
            </w:r>
          </w:p>
          <w:p w14:paraId="0A9F5924"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Any referral arrangements made</w:t>
            </w:r>
          </w:p>
          <w:p w14:paraId="1E2B6431"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Any supply outside the terms of the product marketing authorisation</w:t>
            </w:r>
          </w:p>
          <w:p w14:paraId="01AF626D" w14:textId="77777777" w:rsidR="000D7528" w:rsidRPr="000D7528" w:rsidRDefault="000D7528" w:rsidP="0012134D">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Recorded that supply is via Patient Group Direction (PGD)</w:t>
            </w:r>
          </w:p>
          <w:p w14:paraId="405FB309" w14:textId="77777777" w:rsidR="000D7528" w:rsidRPr="000D7528" w:rsidRDefault="000D7528" w:rsidP="0012134D">
            <w:pPr>
              <w:widowControl w:val="0"/>
              <w:spacing w:after="0" w:line="240" w:lineRule="auto"/>
              <w:rPr>
                <w:rFonts w:ascii="Arial" w:hAnsi="Arial" w:cs="Arial"/>
                <w:color w:val="000000"/>
              </w:rPr>
            </w:pPr>
          </w:p>
          <w:p w14:paraId="32642608" w14:textId="77777777" w:rsidR="000D7528" w:rsidRPr="000D7528" w:rsidRDefault="000D7528" w:rsidP="0012134D">
            <w:pPr>
              <w:spacing w:after="0" w:line="240" w:lineRule="auto"/>
              <w:rPr>
                <w:rFonts w:ascii="Arial" w:hAnsi="Arial" w:cs="Arial"/>
              </w:rPr>
            </w:pPr>
            <w:r w:rsidRPr="000D7528">
              <w:rPr>
                <w:rFonts w:ascii="Arial" w:hAnsi="Arial" w:cs="Arial"/>
              </w:rPr>
              <w:t xml:space="preserve">Records should be signed and dated (or a password controlled e-records) and securely kept for a defined period in line with local policy. </w:t>
            </w:r>
          </w:p>
          <w:p w14:paraId="4713CF82" w14:textId="77777777" w:rsidR="000D7528" w:rsidRPr="000D7528" w:rsidRDefault="000D7528" w:rsidP="0012134D">
            <w:pPr>
              <w:spacing w:after="0" w:line="240" w:lineRule="auto"/>
              <w:rPr>
                <w:rFonts w:ascii="Arial" w:hAnsi="Arial" w:cs="Arial"/>
              </w:rPr>
            </w:pPr>
          </w:p>
          <w:p w14:paraId="5E0C7675"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All records should be clear, legible and contemporaneous.</w:t>
            </w:r>
          </w:p>
          <w:p w14:paraId="1F29443E"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rPr>
            </w:pPr>
          </w:p>
          <w:p w14:paraId="0D2BBAEB" w14:textId="77777777" w:rsidR="000D7528" w:rsidRPr="000D7528" w:rsidRDefault="000D7528" w:rsidP="0012134D">
            <w:pPr>
              <w:autoSpaceDE w:val="0"/>
              <w:autoSpaceDN w:val="0"/>
              <w:adjustRightInd w:val="0"/>
              <w:spacing w:after="0" w:line="240" w:lineRule="auto"/>
              <w:rPr>
                <w:rFonts w:ascii="Arial" w:hAnsi="Arial" w:cs="Arial"/>
              </w:rPr>
            </w:pPr>
            <w:r w:rsidRPr="000D7528">
              <w:rPr>
                <w:rFonts w:ascii="Arial" w:hAnsi="Arial" w:cs="Arial"/>
              </w:rPr>
              <w:t>A record of all individuals receiving treatment under this PGD should also be kept for audit purposes in accordance with local policy.</w:t>
            </w:r>
          </w:p>
        </w:tc>
      </w:tr>
    </w:tbl>
    <w:p w14:paraId="004887DE" w14:textId="77777777" w:rsidR="00D10926" w:rsidRDefault="00D10926" w:rsidP="0012134D">
      <w:pPr>
        <w:spacing w:after="0" w:line="240" w:lineRule="auto"/>
        <w:jc w:val="center"/>
        <w:rPr>
          <w:rFonts w:ascii="Arial" w:hAnsi="Arial"/>
          <w:b/>
        </w:rPr>
      </w:pPr>
    </w:p>
    <w:p w14:paraId="2884A3CC" w14:textId="77777777" w:rsidR="00D10926" w:rsidRPr="00E136C7" w:rsidRDefault="00D10926" w:rsidP="00E136C7">
      <w:pPr>
        <w:pStyle w:val="ListParagraph"/>
        <w:numPr>
          <w:ilvl w:val="0"/>
          <w:numId w:val="49"/>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E136C7">
        <w:rPr>
          <w:rFonts w:ascii="Arial" w:hAnsi="Arial" w:cs="Arial"/>
          <w:b/>
        </w:rPr>
        <w:t>Key references</w:t>
      </w:r>
    </w:p>
    <w:p w14:paraId="038C9444" w14:textId="77777777" w:rsidR="00D10926" w:rsidRPr="00D10926" w:rsidRDefault="00D10926" w:rsidP="0012134D">
      <w:pPr>
        <w:overflowPunct w:val="0"/>
        <w:autoSpaceDE w:val="0"/>
        <w:autoSpaceDN w:val="0"/>
        <w:adjustRightInd w:val="0"/>
        <w:spacing w:after="0" w:line="240" w:lineRule="auto"/>
        <w:contextualSpacing/>
        <w:textAlignment w:val="baseline"/>
        <w:rPr>
          <w:rFonts w:ascii="Arial" w:hAnsi="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390FE1" w14:paraId="42A766D2" w14:textId="77777777" w:rsidTr="003317CA">
        <w:tc>
          <w:tcPr>
            <w:tcW w:w="3261" w:type="dxa"/>
            <w:shd w:val="clear" w:color="auto" w:fill="D9D9D9"/>
          </w:tcPr>
          <w:p w14:paraId="4320AF4C" w14:textId="77777777" w:rsidR="000D7528" w:rsidRPr="000D7528" w:rsidRDefault="000D7528" w:rsidP="0012134D">
            <w:pPr>
              <w:overflowPunct w:val="0"/>
              <w:autoSpaceDE w:val="0"/>
              <w:autoSpaceDN w:val="0"/>
              <w:adjustRightInd w:val="0"/>
              <w:spacing w:after="0" w:line="240" w:lineRule="auto"/>
              <w:textAlignment w:val="baseline"/>
              <w:rPr>
                <w:rFonts w:ascii="Arial" w:hAnsi="Arial" w:cs="Arial"/>
                <w:b/>
              </w:rPr>
            </w:pPr>
            <w:r w:rsidRPr="000D7528">
              <w:rPr>
                <w:rFonts w:ascii="Arial" w:hAnsi="Arial"/>
                <w:b/>
                <w:szCs w:val="20"/>
              </w:rPr>
              <w:br w:type="page"/>
            </w:r>
            <w:r w:rsidRPr="000D7528">
              <w:rPr>
                <w:rFonts w:ascii="Arial" w:hAnsi="Arial" w:cs="Arial"/>
                <w:b/>
              </w:rPr>
              <w:t xml:space="preserve">Key references </w:t>
            </w:r>
            <w:r>
              <w:rPr>
                <w:rFonts w:ascii="Arial" w:hAnsi="Arial" w:cs="Arial"/>
                <w:b/>
              </w:rPr>
              <w:t xml:space="preserve">(accessed </w:t>
            </w:r>
            <w:r w:rsidR="00CF67B4" w:rsidRPr="00EB1F4C">
              <w:rPr>
                <w:rFonts w:ascii="Arial" w:hAnsi="Arial" w:cs="Arial"/>
                <w:b/>
              </w:rPr>
              <w:t>July</w:t>
            </w:r>
            <w:r w:rsidRPr="00EB1F4C">
              <w:rPr>
                <w:rFonts w:ascii="Arial" w:hAnsi="Arial" w:cs="Arial"/>
                <w:b/>
              </w:rPr>
              <w:t xml:space="preserve"> 202</w:t>
            </w:r>
            <w:r w:rsidR="00CF67B4" w:rsidRPr="00EB1F4C">
              <w:rPr>
                <w:rFonts w:ascii="Arial" w:hAnsi="Arial" w:cs="Arial"/>
                <w:b/>
              </w:rPr>
              <w:t>4</w:t>
            </w:r>
            <w:r w:rsidRPr="00EB1F4C">
              <w:rPr>
                <w:rFonts w:ascii="Arial" w:hAnsi="Arial" w:cs="Arial"/>
                <w:b/>
              </w:rPr>
              <w:t>)</w:t>
            </w:r>
          </w:p>
        </w:tc>
        <w:tc>
          <w:tcPr>
            <w:tcW w:w="6521" w:type="dxa"/>
            <w:shd w:val="clear" w:color="auto" w:fill="auto"/>
          </w:tcPr>
          <w:p w14:paraId="57F1D218" w14:textId="77777777" w:rsidR="000D7528" w:rsidRPr="0012134D" w:rsidRDefault="000D7528" w:rsidP="0012134D">
            <w:pPr>
              <w:widowControl w:val="0"/>
              <w:numPr>
                <w:ilvl w:val="0"/>
                <w:numId w:val="47"/>
              </w:numPr>
              <w:overflowPunct w:val="0"/>
              <w:autoSpaceDE w:val="0"/>
              <w:autoSpaceDN w:val="0"/>
              <w:adjustRightInd w:val="0"/>
              <w:spacing w:after="0" w:line="240" w:lineRule="auto"/>
              <w:textAlignment w:val="baseline"/>
              <w:rPr>
                <w:rFonts w:ascii="Arial" w:hAnsi="Arial" w:cs="Arial"/>
                <w:sz w:val="20"/>
                <w:szCs w:val="20"/>
                <w:lang w:val="en-US"/>
              </w:rPr>
            </w:pPr>
            <w:r w:rsidRPr="0012134D">
              <w:rPr>
                <w:rFonts w:ascii="Arial" w:hAnsi="Arial" w:cs="Arial"/>
                <w:sz w:val="20"/>
                <w:szCs w:val="20"/>
                <w:lang w:val="en-US"/>
              </w:rPr>
              <w:t xml:space="preserve">Electronic Medicines Compendium </w:t>
            </w:r>
            <w:hyperlink r:id="rId20" w:history="1">
              <w:r w:rsidRPr="00E136C7">
                <w:rPr>
                  <w:rFonts w:ascii="Arial" w:hAnsi="Arial" w:cs="Arial"/>
                  <w:color w:val="5B9BD5" w:themeColor="accent5"/>
                  <w:sz w:val="20"/>
                  <w:szCs w:val="20"/>
                  <w:lang w:val="en-US"/>
                </w:rPr>
                <w:t>http://www.medicines.org.uk/</w:t>
              </w:r>
            </w:hyperlink>
          </w:p>
          <w:p w14:paraId="7315DA9A" w14:textId="77777777" w:rsidR="000D7528" w:rsidRPr="0012134D" w:rsidRDefault="000D7528" w:rsidP="0012134D">
            <w:pPr>
              <w:widowControl w:val="0"/>
              <w:numPr>
                <w:ilvl w:val="0"/>
                <w:numId w:val="47"/>
              </w:numPr>
              <w:overflowPunct w:val="0"/>
              <w:autoSpaceDE w:val="0"/>
              <w:autoSpaceDN w:val="0"/>
              <w:adjustRightInd w:val="0"/>
              <w:spacing w:after="0" w:line="240" w:lineRule="auto"/>
              <w:textAlignment w:val="baseline"/>
              <w:rPr>
                <w:rFonts w:ascii="Arial" w:hAnsi="Arial" w:cs="Arial"/>
                <w:sz w:val="20"/>
                <w:szCs w:val="20"/>
                <w:lang w:val="en-US"/>
              </w:rPr>
            </w:pPr>
            <w:r w:rsidRPr="0012134D">
              <w:rPr>
                <w:rFonts w:ascii="Arial" w:hAnsi="Arial" w:cs="Arial"/>
                <w:sz w:val="20"/>
                <w:szCs w:val="20"/>
                <w:lang w:val="en-US"/>
              </w:rPr>
              <w:t xml:space="preserve">Electronic BNF </w:t>
            </w:r>
            <w:hyperlink r:id="rId21" w:history="1">
              <w:r w:rsidRPr="00E136C7">
                <w:rPr>
                  <w:rFonts w:ascii="Arial" w:hAnsi="Arial" w:cs="Arial"/>
                  <w:color w:val="5B9BD5" w:themeColor="accent5"/>
                  <w:sz w:val="20"/>
                  <w:szCs w:val="20"/>
                  <w:lang w:val="en-US"/>
                </w:rPr>
                <w:t>https://bnf.nice.org.uk/</w:t>
              </w:r>
            </w:hyperlink>
            <w:r w:rsidRPr="00E136C7">
              <w:rPr>
                <w:rFonts w:ascii="Arial" w:hAnsi="Arial" w:cs="Arial"/>
                <w:color w:val="5B9BD5" w:themeColor="accent5"/>
                <w:sz w:val="20"/>
                <w:szCs w:val="20"/>
                <w:lang w:val="en-US"/>
              </w:rPr>
              <w:t xml:space="preserve"> </w:t>
            </w:r>
          </w:p>
          <w:p w14:paraId="287037C3" w14:textId="77777777" w:rsidR="000D7528" w:rsidRPr="0012134D" w:rsidRDefault="000D7528" w:rsidP="0012134D">
            <w:pPr>
              <w:widowControl w:val="0"/>
              <w:numPr>
                <w:ilvl w:val="0"/>
                <w:numId w:val="47"/>
              </w:numPr>
              <w:overflowPunct w:val="0"/>
              <w:autoSpaceDE w:val="0"/>
              <w:autoSpaceDN w:val="0"/>
              <w:adjustRightInd w:val="0"/>
              <w:spacing w:after="0" w:line="240" w:lineRule="auto"/>
              <w:textAlignment w:val="baseline"/>
              <w:rPr>
                <w:rFonts w:ascii="Arial" w:hAnsi="Arial" w:cs="Arial"/>
                <w:sz w:val="20"/>
                <w:szCs w:val="20"/>
                <w:lang w:val="en-US"/>
              </w:rPr>
            </w:pPr>
            <w:r w:rsidRPr="0012134D">
              <w:rPr>
                <w:rFonts w:ascii="Arial" w:hAnsi="Arial" w:cs="Arial"/>
                <w:sz w:val="20"/>
                <w:szCs w:val="20"/>
                <w:lang w:val="en-US"/>
              </w:rPr>
              <w:t xml:space="preserve">NICE Medicines practice guideline “Patient Group Directions”   </w:t>
            </w:r>
            <w:hyperlink r:id="rId22" w:history="1">
              <w:r w:rsidRPr="00E136C7">
                <w:rPr>
                  <w:rFonts w:ascii="Arial" w:hAnsi="Arial" w:cs="Arial"/>
                  <w:color w:val="5B9BD5" w:themeColor="accent5"/>
                  <w:sz w:val="20"/>
                  <w:szCs w:val="20"/>
                  <w:lang w:val="en-US"/>
                </w:rPr>
                <w:t>https://www.nice.org.uk/guidance/mpg2</w:t>
              </w:r>
            </w:hyperlink>
          </w:p>
          <w:p w14:paraId="74180A61" w14:textId="0D74DAA5" w:rsidR="006735EC" w:rsidRPr="0012134D" w:rsidRDefault="00C140F4" w:rsidP="0012134D">
            <w:pPr>
              <w:numPr>
                <w:ilvl w:val="0"/>
                <w:numId w:val="47"/>
              </w:numPr>
              <w:spacing w:after="0" w:line="240" w:lineRule="auto"/>
              <w:rPr>
                <w:rFonts w:ascii="Arial" w:hAnsi="Arial" w:cs="Arial"/>
                <w:sz w:val="20"/>
                <w:szCs w:val="20"/>
                <w:lang w:val="en-US"/>
              </w:rPr>
            </w:pPr>
            <w:r w:rsidRPr="0012134D">
              <w:rPr>
                <w:rFonts w:ascii="Arial" w:hAnsi="Arial" w:cs="Arial"/>
                <w:sz w:val="20"/>
                <w:szCs w:val="20"/>
                <w:lang w:val="en-US"/>
              </w:rPr>
              <w:t>CMACE/RCOG (2018</w:t>
            </w:r>
            <w:r w:rsidR="006735EC" w:rsidRPr="0012134D">
              <w:rPr>
                <w:rFonts w:ascii="Arial" w:hAnsi="Arial" w:cs="Arial"/>
                <w:sz w:val="20"/>
                <w:szCs w:val="20"/>
                <w:lang w:val="en-US"/>
              </w:rPr>
              <w:t xml:space="preserve">) Management of women with obesity in pregnancy. Available from: </w:t>
            </w:r>
            <w:hyperlink r:id="rId23" w:history="1">
              <w:r w:rsidR="006735EC" w:rsidRPr="00E136C7">
                <w:rPr>
                  <w:rFonts w:ascii="Arial" w:hAnsi="Arial" w:cs="Arial"/>
                  <w:color w:val="5B9BD5" w:themeColor="accent5"/>
                  <w:sz w:val="20"/>
                  <w:szCs w:val="20"/>
                  <w:lang w:val="en-US"/>
                </w:rPr>
                <w:t>https://www.rcog.org.uk/globalassets/documents/guidelines/cmacercogjointguidelinemanagementwomenobesitypregnancya.pdf</w:t>
              </w:r>
            </w:hyperlink>
            <w:r w:rsidR="00E136C7" w:rsidRPr="00E136C7">
              <w:rPr>
                <w:rFonts w:ascii="Arial" w:hAnsi="Arial" w:cs="Arial"/>
                <w:color w:val="5B9BD5" w:themeColor="accent5"/>
                <w:sz w:val="20"/>
                <w:szCs w:val="20"/>
                <w:lang w:val="en-US"/>
              </w:rPr>
              <w:t xml:space="preserve"> </w:t>
            </w:r>
          </w:p>
          <w:p w14:paraId="59532392" w14:textId="77777777" w:rsidR="006735EC" w:rsidRPr="0012134D" w:rsidRDefault="006735EC" w:rsidP="0012134D">
            <w:pPr>
              <w:numPr>
                <w:ilvl w:val="0"/>
                <w:numId w:val="47"/>
              </w:numPr>
              <w:spacing w:after="0" w:line="240" w:lineRule="auto"/>
              <w:rPr>
                <w:rFonts w:ascii="Arial" w:hAnsi="Arial" w:cs="Arial"/>
                <w:sz w:val="20"/>
                <w:szCs w:val="20"/>
                <w:lang w:val="en-US"/>
              </w:rPr>
            </w:pPr>
            <w:r w:rsidRPr="0012134D">
              <w:rPr>
                <w:rFonts w:ascii="Arial" w:hAnsi="Arial" w:cs="Arial"/>
                <w:sz w:val="20"/>
                <w:szCs w:val="20"/>
                <w:lang w:val="en-US"/>
              </w:rPr>
              <w:t xml:space="preserve">NICE (2019) Pre-conception – advice and management. Available from: </w:t>
            </w:r>
            <w:hyperlink r:id="rId24" w:anchor="!scenarioRecommendation:18" w:history="1">
              <w:r w:rsidRPr="00E136C7">
                <w:rPr>
                  <w:rFonts w:ascii="Arial" w:hAnsi="Arial" w:cs="Arial"/>
                  <w:color w:val="5B9BD5" w:themeColor="accent5"/>
                  <w:sz w:val="20"/>
                  <w:szCs w:val="20"/>
                  <w:lang w:val="en-US"/>
                </w:rPr>
                <w:t>https://cks.nice.org.uk/pre-conception-advice-and-management#!scenarioRecommendation:18</w:t>
              </w:r>
            </w:hyperlink>
          </w:p>
          <w:p w14:paraId="1A88137C" w14:textId="15B8B61D" w:rsidR="000D7528" w:rsidRPr="0012134D" w:rsidRDefault="006735EC" w:rsidP="0012134D">
            <w:pPr>
              <w:numPr>
                <w:ilvl w:val="0"/>
                <w:numId w:val="47"/>
              </w:numPr>
              <w:spacing w:after="0" w:line="240" w:lineRule="auto"/>
              <w:rPr>
                <w:rFonts w:ascii="Arial" w:hAnsi="Arial" w:cs="Arial"/>
                <w:sz w:val="20"/>
                <w:szCs w:val="20"/>
                <w:lang w:val="en-US"/>
              </w:rPr>
            </w:pPr>
            <w:r w:rsidRPr="0012134D">
              <w:rPr>
                <w:rFonts w:ascii="Arial" w:hAnsi="Arial" w:cs="Arial"/>
                <w:sz w:val="20"/>
                <w:szCs w:val="20"/>
                <w:lang w:val="en-US"/>
              </w:rPr>
              <w:lastRenderedPageBreak/>
              <w:t xml:space="preserve">Diabetes in pregnancy: management from preconception to the postnatal period NICE guideline [NG3] Published date: February 2015 Last updated: August 2015  </w:t>
            </w:r>
            <w:hyperlink r:id="rId25" w:history="1">
              <w:r w:rsidRPr="00E136C7">
                <w:rPr>
                  <w:rFonts w:ascii="Arial" w:hAnsi="Arial" w:cs="Arial"/>
                  <w:color w:val="5B9BD5" w:themeColor="accent5"/>
                  <w:sz w:val="20"/>
                  <w:szCs w:val="20"/>
                  <w:lang w:val="en-US"/>
                </w:rPr>
                <w:t>https://www.nice.org.uk/guidance/ng3</w:t>
              </w:r>
            </w:hyperlink>
            <w:r w:rsidR="00E136C7" w:rsidRPr="00E136C7">
              <w:rPr>
                <w:rFonts w:ascii="Arial" w:hAnsi="Arial" w:cs="Arial"/>
                <w:color w:val="5B9BD5" w:themeColor="accent5"/>
                <w:sz w:val="20"/>
                <w:szCs w:val="20"/>
                <w:lang w:val="en-US"/>
              </w:rPr>
              <w:t xml:space="preserve"> </w:t>
            </w:r>
          </w:p>
          <w:p w14:paraId="360687E9" w14:textId="2FEF402E" w:rsidR="00856CFD" w:rsidRPr="00E136C7" w:rsidRDefault="00856CFD" w:rsidP="0012134D">
            <w:pPr>
              <w:numPr>
                <w:ilvl w:val="0"/>
                <w:numId w:val="47"/>
              </w:numPr>
              <w:spacing w:after="0" w:line="240" w:lineRule="auto"/>
              <w:rPr>
                <w:rFonts w:ascii="Arial" w:hAnsi="Arial" w:cs="Arial"/>
                <w:sz w:val="18"/>
                <w:szCs w:val="18"/>
                <w:lang w:val="en-US"/>
              </w:rPr>
            </w:pPr>
            <w:r w:rsidRPr="0012134D">
              <w:rPr>
                <w:rFonts w:ascii="Arial" w:hAnsi="Arial" w:cs="Arial"/>
                <w:sz w:val="20"/>
                <w:szCs w:val="20"/>
                <w:lang w:val="en-US"/>
              </w:rPr>
              <w:t>BHIVA (2020) Guidelines for the management of HIV in pregnancy and postpartum 2018 (2020 third interim update)</w:t>
            </w:r>
          </w:p>
          <w:p w14:paraId="65888D73" w14:textId="087DF3EA" w:rsidR="00856CFD" w:rsidRPr="0012134D" w:rsidRDefault="00A83393" w:rsidP="0012134D">
            <w:pPr>
              <w:numPr>
                <w:ilvl w:val="0"/>
                <w:numId w:val="47"/>
              </w:numPr>
              <w:spacing w:after="0" w:line="240" w:lineRule="auto"/>
              <w:rPr>
                <w:rFonts w:ascii="Arial" w:hAnsi="Arial" w:cs="Arial"/>
                <w:sz w:val="20"/>
                <w:szCs w:val="20"/>
                <w:lang w:val="en-US"/>
              </w:rPr>
            </w:pPr>
            <w:hyperlink r:id="rId26" w:history="1">
              <w:r w:rsidR="00856CFD" w:rsidRPr="00E136C7">
                <w:rPr>
                  <w:rFonts w:ascii="Arial" w:hAnsi="Arial" w:cs="Arial"/>
                  <w:sz w:val="20"/>
                  <w:szCs w:val="20"/>
                  <w:lang w:val="en-US"/>
                </w:rPr>
                <w:t>BHIVA guidelines for the management of HIV in pregnancy and postpartum 2018 (2020 third interim update)</w:t>
              </w:r>
            </w:hyperlink>
          </w:p>
        </w:tc>
      </w:tr>
    </w:tbl>
    <w:p w14:paraId="2B204B4D" w14:textId="77777777" w:rsidR="00D10926" w:rsidRPr="00D10926" w:rsidRDefault="00D10926" w:rsidP="0012134D">
      <w:pPr>
        <w:spacing w:after="0" w:line="240" w:lineRule="auto"/>
        <w:rPr>
          <w:rFonts w:ascii="Arial" w:hAnsi="Arial"/>
          <w:b/>
          <w:szCs w:val="20"/>
        </w:rPr>
      </w:pPr>
    </w:p>
    <w:p w14:paraId="10F5879E" w14:textId="77777777" w:rsidR="00D10926" w:rsidRDefault="00D10926" w:rsidP="0012134D">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r w:rsidR="00D84D1E">
        <w:rPr>
          <w:rFonts w:ascii="Arial" w:hAnsi="Arial" w:cs="Arial"/>
          <w:b/>
          <w:szCs w:val="20"/>
        </w:rPr>
        <w:t xml:space="preserve"> (example – local versions/electronic systems may be used)</w:t>
      </w:r>
    </w:p>
    <w:p w14:paraId="7A3510DC" w14:textId="77777777" w:rsidR="0012134D" w:rsidRPr="00D10926" w:rsidRDefault="0012134D" w:rsidP="0012134D">
      <w:pPr>
        <w:spacing w:after="0" w:line="240" w:lineRule="auto"/>
        <w:rPr>
          <w:rFonts w:ascii="Arial" w:hAnsi="Arial" w:cs="Arial"/>
          <w:b/>
          <w:szCs w:val="20"/>
        </w:rPr>
      </w:pPr>
    </w:p>
    <w:p w14:paraId="3660662E" w14:textId="77777777" w:rsidR="00D10926" w:rsidRPr="00D10926" w:rsidRDefault="00D10926" w:rsidP="0012134D">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2B3CCBE1" w14:textId="77777777" w:rsidR="00D10926" w:rsidRPr="00D10926" w:rsidRDefault="00D10926" w:rsidP="0012134D">
      <w:pPr>
        <w:spacing w:after="0" w:line="240" w:lineRule="auto"/>
        <w:rPr>
          <w:rFonts w:ascii="Arial" w:hAnsi="Arial"/>
          <w:b/>
        </w:rPr>
      </w:pPr>
    </w:p>
    <w:p w14:paraId="5666300F" w14:textId="77777777" w:rsidR="00D10926" w:rsidRPr="00D10926" w:rsidRDefault="00D10926" w:rsidP="0012134D">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294E8791" w14:textId="77777777" w:rsidR="00D10926" w:rsidRPr="00D10926" w:rsidRDefault="00D10926" w:rsidP="0012134D">
      <w:pPr>
        <w:spacing w:after="0" w:line="240" w:lineRule="auto"/>
        <w:rPr>
          <w:rFonts w:ascii="Arial" w:hAnsi="Arial"/>
          <w:b/>
        </w:rPr>
      </w:pPr>
    </w:p>
    <w:p w14:paraId="44B39087" w14:textId="77777777" w:rsidR="00D10926" w:rsidRDefault="00D10926" w:rsidP="0012134D">
      <w:pPr>
        <w:spacing w:after="0" w:line="240" w:lineRule="auto"/>
        <w:rPr>
          <w:rFonts w:ascii="Arial" w:hAnsi="Arial"/>
          <w:b/>
        </w:rPr>
      </w:pPr>
      <w:r w:rsidRPr="00D10926">
        <w:rPr>
          <w:rFonts w:ascii="Arial" w:hAnsi="Arial"/>
          <w:b/>
        </w:rPr>
        <w:t>Registered health professional</w:t>
      </w:r>
    </w:p>
    <w:p w14:paraId="5A8D6DB8" w14:textId="77777777" w:rsidR="0012134D" w:rsidRPr="00D10926" w:rsidRDefault="0012134D" w:rsidP="0012134D">
      <w:pPr>
        <w:spacing w:after="0" w:line="240" w:lineRule="auto"/>
        <w:rPr>
          <w:rFonts w:ascii="Arial" w:hAnsi="Arial"/>
          <w:b/>
        </w:rPr>
      </w:pPr>
    </w:p>
    <w:p w14:paraId="37BC767E" w14:textId="77777777" w:rsidR="00D10926" w:rsidRPr="00D10926" w:rsidRDefault="00D10926" w:rsidP="0012134D">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541A8562" w14:textId="77777777" w:rsidR="00D10926" w:rsidRDefault="00D10926" w:rsidP="0012134D">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5252CEDA" w14:textId="77777777" w:rsidR="0012134D" w:rsidRPr="00D10926" w:rsidRDefault="0012134D" w:rsidP="0012134D">
      <w:pPr>
        <w:overflowPunct w:val="0"/>
        <w:autoSpaceDE w:val="0"/>
        <w:autoSpaceDN w:val="0"/>
        <w:adjustRightInd w:val="0"/>
        <w:spacing w:after="0" w:line="240" w:lineRule="auto"/>
        <w:textAlignment w:val="baseline"/>
        <w:rPr>
          <w:rFonts w:ascii="Arial" w:hAnsi="Arial" w:cs="Arial"/>
        </w:rPr>
      </w:pPr>
    </w:p>
    <w:p w14:paraId="187BD0A1" w14:textId="77777777" w:rsidR="00D10926" w:rsidRDefault="00D10926" w:rsidP="0012134D">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3512E710" w14:textId="77777777" w:rsidR="0012134D" w:rsidRPr="00D10926" w:rsidRDefault="0012134D" w:rsidP="0012134D">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390FE1" w14:paraId="409F4CEB" w14:textId="77777777" w:rsidTr="005718CD">
        <w:tc>
          <w:tcPr>
            <w:tcW w:w="9747" w:type="dxa"/>
            <w:gridSpan w:val="4"/>
            <w:shd w:val="clear" w:color="auto" w:fill="D9D9D9"/>
          </w:tcPr>
          <w:p w14:paraId="60FF63AA" w14:textId="77777777" w:rsidR="00D10926" w:rsidRPr="00D10926" w:rsidRDefault="00D10926" w:rsidP="0012134D">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390FE1" w14:paraId="7CFC7ABF" w14:textId="77777777" w:rsidTr="005718CD">
        <w:tc>
          <w:tcPr>
            <w:tcW w:w="2518" w:type="dxa"/>
            <w:shd w:val="clear" w:color="auto" w:fill="D9D9D9"/>
          </w:tcPr>
          <w:p w14:paraId="3A56BD3F"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2CA6E69D"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19E9EEE0"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3E7DD90C"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390FE1" w14:paraId="4AE34F80" w14:textId="77777777" w:rsidTr="005718CD">
        <w:tc>
          <w:tcPr>
            <w:tcW w:w="2518" w:type="dxa"/>
            <w:shd w:val="clear" w:color="auto" w:fill="auto"/>
          </w:tcPr>
          <w:p w14:paraId="7CFDE5F9" w14:textId="77777777" w:rsidR="00D10926" w:rsidRDefault="00D10926" w:rsidP="0012134D">
            <w:pPr>
              <w:spacing w:after="0" w:line="240" w:lineRule="auto"/>
              <w:jc w:val="center"/>
              <w:rPr>
                <w:rFonts w:ascii="Arial" w:hAnsi="Arial" w:cs="Arial"/>
                <w:color w:val="000000"/>
              </w:rPr>
            </w:pPr>
          </w:p>
          <w:p w14:paraId="336C7393" w14:textId="77777777" w:rsidR="00C62850" w:rsidRPr="00D10926" w:rsidRDefault="00C62850" w:rsidP="0012134D">
            <w:pPr>
              <w:spacing w:after="0" w:line="240" w:lineRule="auto"/>
              <w:jc w:val="center"/>
              <w:rPr>
                <w:rFonts w:ascii="Arial" w:hAnsi="Arial" w:cs="Arial"/>
                <w:color w:val="000000"/>
              </w:rPr>
            </w:pPr>
          </w:p>
        </w:tc>
        <w:tc>
          <w:tcPr>
            <w:tcW w:w="3119" w:type="dxa"/>
            <w:shd w:val="clear" w:color="auto" w:fill="auto"/>
          </w:tcPr>
          <w:p w14:paraId="629A9A74" w14:textId="77777777" w:rsidR="00D10926" w:rsidRPr="00D10926" w:rsidRDefault="00D10926" w:rsidP="0012134D">
            <w:pPr>
              <w:spacing w:after="0" w:line="240" w:lineRule="auto"/>
              <w:jc w:val="center"/>
              <w:rPr>
                <w:rFonts w:ascii="Arial" w:hAnsi="Arial" w:cs="Arial"/>
                <w:color w:val="000000"/>
              </w:rPr>
            </w:pPr>
          </w:p>
        </w:tc>
        <w:tc>
          <w:tcPr>
            <w:tcW w:w="2693" w:type="dxa"/>
            <w:shd w:val="clear" w:color="auto" w:fill="auto"/>
          </w:tcPr>
          <w:p w14:paraId="60243BFD" w14:textId="77777777" w:rsidR="00D10926" w:rsidRPr="00D10926" w:rsidRDefault="00D10926" w:rsidP="0012134D">
            <w:pPr>
              <w:spacing w:after="0" w:line="240" w:lineRule="auto"/>
              <w:jc w:val="center"/>
              <w:rPr>
                <w:rFonts w:ascii="Arial" w:hAnsi="Arial" w:cs="Arial"/>
                <w:color w:val="000000"/>
              </w:rPr>
            </w:pPr>
          </w:p>
        </w:tc>
        <w:tc>
          <w:tcPr>
            <w:tcW w:w="1417" w:type="dxa"/>
            <w:shd w:val="clear" w:color="auto" w:fill="auto"/>
          </w:tcPr>
          <w:p w14:paraId="691E4FAB" w14:textId="77777777" w:rsidR="00D10926" w:rsidRPr="00D10926" w:rsidRDefault="00D10926" w:rsidP="0012134D">
            <w:pPr>
              <w:spacing w:after="0" w:line="240" w:lineRule="auto"/>
              <w:jc w:val="center"/>
              <w:rPr>
                <w:rFonts w:ascii="Arial" w:hAnsi="Arial" w:cs="Arial"/>
                <w:color w:val="000000"/>
              </w:rPr>
            </w:pPr>
          </w:p>
        </w:tc>
      </w:tr>
      <w:tr w:rsidR="00390FE1" w14:paraId="18B6537A" w14:textId="77777777" w:rsidTr="005718CD">
        <w:tc>
          <w:tcPr>
            <w:tcW w:w="2518" w:type="dxa"/>
            <w:shd w:val="clear" w:color="auto" w:fill="auto"/>
          </w:tcPr>
          <w:p w14:paraId="0D6DCF6C" w14:textId="77777777" w:rsidR="00D10926" w:rsidRDefault="00D10926" w:rsidP="0012134D">
            <w:pPr>
              <w:spacing w:after="0" w:line="240" w:lineRule="auto"/>
              <w:jc w:val="center"/>
              <w:rPr>
                <w:rFonts w:ascii="Arial" w:hAnsi="Arial" w:cs="Arial"/>
                <w:color w:val="000000"/>
              </w:rPr>
            </w:pPr>
          </w:p>
          <w:p w14:paraId="48BB279E" w14:textId="77777777" w:rsidR="00C62850" w:rsidRPr="00D10926" w:rsidRDefault="00C62850" w:rsidP="0012134D">
            <w:pPr>
              <w:spacing w:after="0" w:line="240" w:lineRule="auto"/>
              <w:jc w:val="center"/>
              <w:rPr>
                <w:rFonts w:ascii="Arial" w:hAnsi="Arial" w:cs="Arial"/>
                <w:color w:val="000000"/>
              </w:rPr>
            </w:pPr>
          </w:p>
        </w:tc>
        <w:tc>
          <w:tcPr>
            <w:tcW w:w="3119" w:type="dxa"/>
            <w:shd w:val="clear" w:color="auto" w:fill="auto"/>
          </w:tcPr>
          <w:p w14:paraId="4EEBB9E1" w14:textId="77777777" w:rsidR="00D10926" w:rsidRPr="00D10926" w:rsidRDefault="00D10926" w:rsidP="0012134D">
            <w:pPr>
              <w:spacing w:after="0" w:line="240" w:lineRule="auto"/>
              <w:jc w:val="center"/>
              <w:rPr>
                <w:rFonts w:ascii="Arial" w:hAnsi="Arial" w:cs="Arial"/>
                <w:color w:val="000000"/>
              </w:rPr>
            </w:pPr>
          </w:p>
        </w:tc>
        <w:tc>
          <w:tcPr>
            <w:tcW w:w="2693" w:type="dxa"/>
            <w:shd w:val="clear" w:color="auto" w:fill="auto"/>
          </w:tcPr>
          <w:p w14:paraId="4446D2A4" w14:textId="77777777" w:rsidR="00D10926" w:rsidRPr="00D10926" w:rsidRDefault="00D10926" w:rsidP="0012134D">
            <w:pPr>
              <w:spacing w:after="0" w:line="240" w:lineRule="auto"/>
              <w:jc w:val="center"/>
              <w:rPr>
                <w:rFonts w:ascii="Arial" w:hAnsi="Arial" w:cs="Arial"/>
                <w:color w:val="000000"/>
              </w:rPr>
            </w:pPr>
          </w:p>
        </w:tc>
        <w:tc>
          <w:tcPr>
            <w:tcW w:w="1417" w:type="dxa"/>
            <w:shd w:val="clear" w:color="auto" w:fill="auto"/>
          </w:tcPr>
          <w:p w14:paraId="6C0BB89D" w14:textId="77777777" w:rsidR="00D10926" w:rsidRPr="00D10926" w:rsidRDefault="00D10926" w:rsidP="0012134D">
            <w:pPr>
              <w:spacing w:after="0" w:line="240" w:lineRule="auto"/>
              <w:jc w:val="center"/>
              <w:rPr>
                <w:rFonts w:ascii="Arial" w:hAnsi="Arial" w:cs="Arial"/>
                <w:color w:val="000000"/>
              </w:rPr>
            </w:pPr>
          </w:p>
        </w:tc>
      </w:tr>
      <w:tr w:rsidR="00390FE1" w14:paraId="5D10DC87" w14:textId="77777777" w:rsidTr="00C62850">
        <w:trPr>
          <w:trHeight w:val="40"/>
        </w:trPr>
        <w:tc>
          <w:tcPr>
            <w:tcW w:w="2518" w:type="dxa"/>
            <w:shd w:val="clear" w:color="auto" w:fill="auto"/>
          </w:tcPr>
          <w:p w14:paraId="25AD2D4A" w14:textId="77777777" w:rsidR="00D10926" w:rsidRDefault="00D10926" w:rsidP="0012134D">
            <w:pPr>
              <w:spacing w:after="0" w:line="240" w:lineRule="auto"/>
              <w:rPr>
                <w:rFonts w:ascii="Arial" w:hAnsi="Arial" w:cs="Arial"/>
                <w:color w:val="000000"/>
              </w:rPr>
            </w:pPr>
          </w:p>
          <w:p w14:paraId="7FAF2BAC" w14:textId="77777777" w:rsidR="00C62850" w:rsidRPr="00D10926" w:rsidRDefault="00C62850" w:rsidP="0012134D">
            <w:pPr>
              <w:spacing w:after="0" w:line="240" w:lineRule="auto"/>
              <w:rPr>
                <w:rFonts w:ascii="Arial" w:hAnsi="Arial" w:cs="Arial"/>
                <w:color w:val="000000"/>
              </w:rPr>
            </w:pPr>
          </w:p>
        </w:tc>
        <w:tc>
          <w:tcPr>
            <w:tcW w:w="3119" w:type="dxa"/>
            <w:shd w:val="clear" w:color="auto" w:fill="auto"/>
          </w:tcPr>
          <w:p w14:paraId="7E2B63BC" w14:textId="77777777" w:rsidR="00D10926" w:rsidRPr="00D10926" w:rsidRDefault="00D10926" w:rsidP="0012134D">
            <w:pPr>
              <w:spacing w:after="0" w:line="240" w:lineRule="auto"/>
              <w:jc w:val="center"/>
              <w:rPr>
                <w:rFonts w:ascii="Arial" w:hAnsi="Arial" w:cs="Arial"/>
                <w:color w:val="000000"/>
              </w:rPr>
            </w:pPr>
          </w:p>
        </w:tc>
        <w:tc>
          <w:tcPr>
            <w:tcW w:w="2693" w:type="dxa"/>
            <w:shd w:val="clear" w:color="auto" w:fill="auto"/>
          </w:tcPr>
          <w:p w14:paraId="619E260C" w14:textId="77777777" w:rsidR="00D10926" w:rsidRPr="00D10926" w:rsidRDefault="00D10926" w:rsidP="0012134D">
            <w:pPr>
              <w:spacing w:after="0" w:line="240" w:lineRule="auto"/>
              <w:jc w:val="center"/>
              <w:rPr>
                <w:rFonts w:ascii="Arial" w:hAnsi="Arial" w:cs="Arial"/>
                <w:color w:val="000000"/>
              </w:rPr>
            </w:pPr>
          </w:p>
        </w:tc>
        <w:tc>
          <w:tcPr>
            <w:tcW w:w="1417" w:type="dxa"/>
            <w:shd w:val="clear" w:color="auto" w:fill="auto"/>
          </w:tcPr>
          <w:p w14:paraId="0B2672DA" w14:textId="77777777" w:rsidR="00D10926" w:rsidRPr="00D10926" w:rsidRDefault="00D10926" w:rsidP="0012134D">
            <w:pPr>
              <w:spacing w:after="0" w:line="240" w:lineRule="auto"/>
              <w:jc w:val="center"/>
              <w:rPr>
                <w:rFonts w:ascii="Arial" w:hAnsi="Arial" w:cs="Arial"/>
                <w:color w:val="000000"/>
              </w:rPr>
            </w:pPr>
          </w:p>
        </w:tc>
      </w:tr>
      <w:tr w:rsidR="00390FE1" w14:paraId="25F1EA62" w14:textId="77777777" w:rsidTr="005718CD">
        <w:tc>
          <w:tcPr>
            <w:tcW w:w="2518" w:type="dxa"/>
            <w:shd w:val="clear" w:color="auto" w:fill="auto"/>
          </w:tcPr>
          <w:p w14:paraId="6AE8FDE2" w14:textId="77777777" w:rsidR="00D10926" w:rsidRDefault="00D10926" w:rsidP="0012134D">
            <w:pPr>
              <w:spacing w:after="0" w:line="240" w:lineRule="auto"/>
              <w:jc w:val="center"/>
              <w:rPr>
                <w:rFonts w:ascii="Arial" w:hAnsi="Arial" w:cs="Arial"/>
                <w:color w:val="000000"/>
              </w:rPr>
            </w:pPr>
          </w:p>
          <w:p w14:paraId="0760B4F3" w14:textId="77777777" w:rsidR="00C62850" w:rsidRPr="00D10926" w:rsidRDefault="00C62850" w:rsidP="0012134D">
            <w:pPr>
              <w:spacing w:after="0" w:line="240" w:lineRule="auto"/>
              <w:jc w:val="center"/>
              <w:rPr>
                <w:rFonts w:ascii="Arial" w:hAnsi="Arial" w:cs="Arial"/>
                <w:color w:val="000000"/>
              </w:rPr>
            </w:pPr>
          </w:p>
        </w:tc>
        <w:tc>
          <w:tcPr>
            <w:tcW w:w="3119" w:type="dxa"/>
            <w:shd w:val="clear" w:color="auto" w:fill="auto"/>
          </w:tcPr>
          <w:p w14:paraId="240A8CD8" w14:textId="77777777" w:rsidR="00D10926" w:rsidRPr="00D10926" w:rsidRDefault="00D10926" w:rsidP="0012134D">
            <w:pPr>
              <w:spacing w:after="0" w:line="240" w:lineRule="auto"/>
              <w:jc w:val="center"/>
              <w:rPr>
                <w:rFonts w:ascii="Arial" w:hAnsi="Arial" w:cs="Arial"/>
                <w:color w:val="000000"/>
              </w:rPr>
            </w:pPr>
          </w:p>
        </w:tc>
        <w:tc>
          <w:tcPr>
            <w:tcW w:w="2693" w:type="dxa"/>
            <w:shd w:val="clear" w:color="auto" w:fill="auto"/>
          </w:tcPr>
          <w:p w14:paraId="43CA07A5" w14:textId="77777777" w:rsidR="00D10926" w:rsidRPr="00D10926" w:rsidRDefault="00D10926" w:rsidP="0012134D">
            <w:pPr>
              <w:spacing w:after="0" w:line="240" w:lineRule="auto"/>
              <w:jc w:val="center"/>
              <w:rPr>
                <w:rFonts w:ascii="Arial" w:hAnsi="Arial" w:cs="Arial"/>
                <w:color w:val="000000"/>
              </w:rPr>
            </w:pPr>
          </w:p>
        </w:tc>
        <w:tc>
          <w:tcPr>
            <w:tcW w:w="1417" w:type="dxa"/>
            <w:shd w:val="clear" w:color="auto" w:fill="auto"/>
          </w:tcPr>
          <w:p w14:paraId="3894223A" w14:textId="77777777" w:rsidR="00D10926" w:rsidRPr="00D10926" w:rsidRDefault="00D10926" w:rsidP="0012134D">
            <w:pPr>
              <w:spacing w:after="0" w:line="240" w:lineRule="auto"/>
              <w:jc w:val="center"/>
              <w:rPr>
                <w:rFonts w:ascii="Arial" w:hAnsi="Arial" w:cs="Arial"/>
                <w:color w:val="000000"/>
              </w:rPr>
            </w:pPr>
          </w:p>
        </w:tc>
      </w:tr>
      <w:tr w:rsidR="00390FE1" w14:paraId="0AADE82B" w14:textId="77777777" w:rsidTr="005718CD">
        <w:tc>
          <w:tcPr>
            <w:tcW w:w="2518" w:type="dxa"/>
            <w:shd w:val="clear" w:color="auto" w:fill="auto"/>
          </w:tcPr>
          <w:p w14:paraId="4CB966E0" w14:textId="77777777" w:rsidR="00D10926" w:rsidRDefault="00D10926" w:rsidP="0012134D">
            <w:pPr>
              <w:spacing w:after="0" w:line="240" w:lineRule="auto"/>
              <w:jc w:val="center"/>
              <w:rPr>
                <w:rFonts w:ascii="Arial" w:hAnsi="Arial" w:cs="Arial"/>
                <w:color w:val="000000"/>
              </w:rPr>
            </w:pPr>
          </w:p>
          <w:p w14:paraId="7FAC7ED5" w14:textId="77777777" w:rsidR="00C62850" w:rsidRPr="00D10926" w:rsidRDefault="00C62850" w:rsidP="0012134D">
            <w:pPr>
              <w:spacing w:after="0" w:line="240" w:lineRule="auto"/>
              <w:jc w:val="center"/>
              <w:rPr>
                <w:rFonts w:ascii="Arial" w:hAnsi="Arial" w:cs="Arial"/>
                <w:color w:val="000000"/>
              </w:rPr>
            </w:pPr>
          </w:p>
        </w:tc>
        <w:tc>
          <w:tcPr>
            <w:tcW w:w="3119" w:type="dxa"/>
            <w:shd w:val="clear" w:color="auto" w:fill="auto"/>
          </w:tcPr>
          <w:p w14:paraId="178A9AF5" w14:textId="77777777" w:rsidR="00D10926" w:rsidRPr="00D10926" w:rsidRDefault="00D10926" w:rsidP="0012134D">
            <w:pPr>
              <w:spacing w:after="0" w:line="240" w:lineRule="auto"/>
              <w:jc w:val="center"/>
              <w:rPr>
                <w:rFonts w:ascii="Arial" w:hAnsi="Arial" w:cs="Arial"/>
                <w:color w:val="000000"/>
              </w:rPr>
            </w:pPr>
          </w:p>
        </w:tc>
        <w:tc>
          <w:tcPr>
            <w:tcW w:w="2693" w:type="dxa"/>
            <w:shd w:val="clear" w:color="auto" w:fill="auto"/>
          </w:tcPr>
          <w:p w14:paraId="3B6759EF" w14:textId="77777777" w:rsidR="00D10926" w:rsidRPr="00D10926" w:rsidRDefault="00D10926" w:rsidP="0012134D">
            <w:pPr>
              <w:spacing w:after="0" w:line="240" w:lineRule="auto"/>
              <w:jc w:val="center"/>
              <w:rPr>
                <w:rFonts w:ascii="Arial" w:hAnsi="Arial" w:cs="Arial"/>
                <w:color w:val="000000"/>
              </w:rPr>
            </w:pPr>
          </w:p>
        </w:tc>
        <w:tc>
          <w:tcPr>
            <w:tcW w:w="1417" w:type="dxa"/>
            <w:shd w:val="clear" w:color="auto" w:fill="auto"/>
          </w:tcPr>
          <w:p w14:paraId="06F1F0C2" w14:textId="77777777" w:rsidR="00D10926" w:rsidRPr="00D10926" w:rsidRDefault="00D10926" w:rsidP="0012134D">
            <w:pPr>
              <w:spacing w:after="0" w:line="240" w:lineRule="auto"/>
              <w:jc w:val="center"/>
              <w:rPr>
                <w:rFonts w:ascii="Arial" w:hAnsi="Arial" w:cs="Arial"/>
                <w:color w:val="000000"/>
              </w:rPr>
            </w:pPr>
          </w:p>
        </w:tc>
      </w:tr>
      <w:tr w:rsidR="00390FE1" w14:paraId="4F8030A7" w14:textId="77777777" w:rsidTr="005718CD">
        <w:tc>
          <w:tcPr>
            <w:tcW w:w="2518" w:type="dxa"/>
            <w:shd w:val="clear" w:color="auto" w:fill="auto"/>
          </w:tcPr>
          <w:p w14:paraId="4CB07B1C" w14:textId="77777777" w:rsidR="00D10926" w:rsidRDefault="00D10926" w:rsidP="0012134D">
            <w:pPr>
              <w:spacing w:after="0" w:line="240" w:lineRule="auto"/>
              <w:jc w:val="center"/>
              <w:rPr>
                <w:rFonts w:ascii="Arial" w:hAnsi="Arial" w:cs="Arial"/>
                <w:color w:val="000000"/>
              </w:rPr>
            </w:pPr>
          </w:p>
          <w:p w14:paraId="296FB192" w14:textId="77777777" w:rsidR="00C62850" w:rsidRPr="00D10926" w:rsidRDefault="00C62850" w:rsidP="0012134D">
            <w:pPr>
              <w:spacing w:after="0" w:line="240" w:lineRule="auto"/>
              <w:jc w:val="center"/>
              <w:rPr>
                <w:rFonts w:ascii="Arial" w:hAnsi="Arial" w:cs="Arial"/>
                <w:color w:val="000000"/>
              </w:rPr>
            </w:pPr>
          </w:p>
        </w:tc>
        <w:tc>
          <w:tcPr>
            <w:tcW w:w="3119" w:type="dxa"/>
            <w:shd w:val="clear" w:color="auto" w:fill="auto"/>
          </w:tcPr>
          <w:p w14:paraId="3CFC040F" w14:textId="77777777" w:rsidR="00D10926" w:rsidRPr="00D10926" w:rsidRDefault="00D10926" w:rsidP="0012134D">
            <w:pPr>
              <w:spacing w:after="0" w:line="240" w:lineRule="auto"/>
              <w:jc w:val="center"/>
              <w:rPr>
                <w:rFonts w:ascii="Arial" w:hAnsi="Arial" w:cs="Arial"/>
                <w:color w:val="000000"/>
              </w:rPr>
            </w:pPr>
          </w:p>
        </w:tc>
        <w:tc>
          <w:tcPr>
            <w:tcW w:w="2693" w:type="dxa"/>
            <w:shd w:val="clear" w:color="auto" w:fill="auto"/>
          </w:tcPr>
          <w:p w14:paraId="2B347B02" w14:textId="77777777" w:rsidR="00D10926" w:rsidRPr="00D10926" w:rsidRDefault="00D10926" w:rsidP="0012134D">
            <w:pPr>
              <w:spacing w:after="0" w:line="240" w:lineRule="auto"/>
              <w:jc w:val="center"/>
              <w:rPr>
                <w:rFonts w:ascii="Arial" w:hAnsi="Arial" w:cs="Arial"/>
                <w:color w:val="000000"/>
              </w:rPr>
            </w:pPr>
          </w:p>
        </w:tc>
        <w:tc>
          <w:tcPr>
            <w:tcW w:w="1417" w:type="dxa"/>
            <w:shd w:val="clear" w:color="auto" w:fill="auto"/>
          </w:tcPr>
          <w:p w14:paraId="175FC11D" w14:textId="77777777" w:rsidR="00D10926" w:rsidRPr="00D10926" w:rsidRDefault="00D10926" w:rsidP="0012134D">
            <w:pPr>
              <w:spacing w:after="0" w:line="240" w:lineRule="auto"/>
              <w:jc w:val="center"/>
              <w:rPr>
                <w:rFonts w:ascii="Arial" w:hAnsi="Arial" w:cs="Arial"/>
                <w:color w:val="000000"/>
              </w:rPr>
            </w:pPr>
          </w:p>
        </w:tc>
      </w:tr>
      <w:tr w:rsidR="00390FE1" w14:paraId="2A09DD13" w14:textId="77777777" w:rsidTr="005718CD">
        <w:tc>
          <w:tcPr>
            <w:tcW w:w="2518" w:type="dxa"/>
            <w:shd w:val="clear" w:color="auto" w:fill="auto"/>
          </w:tcPr>
          <w:p w14:paraId="03D75C93" w14:textId="77777777" w:rsidR="00D10926" w:rsidRDefault="00D10926" w:rsidP="0012134D">
            <w:pPr>
              <w:spacing w:after="0" w:line="240" w:lineRule="auto"/>
              <w:jc w:val="center"/>
              <w:rPr>
                <w:rFonts w:ascii="Arial" w:hAnsi="Arial" w:cs="Arial"/>
                <w:color w:val="000000"/>
              </w:rPr>
            </w:pPr>
          </w:p>
          <w:p w14:paraId="78072813" w14:textId="77777777" w:rsidR="00C62850" w:rsidRPr="00D10926" w:rsidRDefault="00C62850" w:rsidP="0012134D">
            <w:pPr>
              <w:spacing w:after="0" w:line="240" w:lineRule="auto"/>
              <w:jc w:val="center"/>
              <w:rPr>
                <w:rFonts w:ascii="Arial" w:hAnsi="Arial" w:cs="Arial"/>
                <w:color w:val="000000"/>
              </w:rPr>
            </w:pPr>
          </w:p>
        </w:tc>
        <w:tc>
          <w:tcPr>
            <w:tcW w:w="3119" w:type="dxa"/>
            <w:shd w:val="clear" w:color="auto" w:fill="auto"/>
          </w:tcPr>
          <w:p w14:paraId="45995557" w14:textId="77777777" w:rsidR="00D10926" w:rsidRPr="00D10926" w:rsidRDefault="00D10926" w:rsidP="0012134D">
            <w:pPr>
              <w:spacing w:after="0" w:line="240" w:lineRule="auto"/>
              <w:jc w:val="center"/>
              <w:rPr>
                <w:rFonts w:ascii="Arial" w:hAnsi="Arial" w:cs="Arial"/>
                <w:color w:val="000000"/>
              </w:rPr>
            </w:pPr>
          </w:p>
        </w:tc>
        <w:tc>
          <w:tcPr>
            <w:tcW w:w="2693" w:type="dxa"/>
            <w:shd w:val="clear" w:color="auto" w:fill="auto"/>
          </w:tcPr>
          <w:p w14:paraId="266BCEF0" w14:textId="77777777" w:rsidR="00D10926" w:rsidRPr="00D10926" w:rsidRDefault="00D10926" w:rsidP="0012134D">
            <w:pPr>
              <w:spacing w:after="0" w:line="240" w:lineRule="auto"/>
              <w:jc w:val="center"/>
              <w:rPr>
                <w:rFonts w:ascii="Arial" w:hAnsi="Arial" w:cs="Arial"/>
                <w:color w:val="000000"/>
              </w:rPr>
            </w:pPr>
          </w:p>
        </w:tc>
        <w:tc>
          <w:tcPr>
            <w:tcW w:w="1417" w:type="dxa"/>
            <w:shd w:val="clear" w:color="auto" w:fill="auto"/>
          </w:tcPr>
          <w:p w14:paraId="10EE88FC" w14:textId="77777777" w:rsidR="00D10926" w:rsidRPr="00D10926" w:rsidRDefault="00D10926" w:rsidP="0012134D">
            <w:pPr>
              <w:spacing w:after="0" w:line="240" w:lineRule="auto"/>
              <w:jc w:val="center"/>
              <w:rPr>
                <w:rFonts w:ascii="Arial" w:hAnsi="Arial" w:cs="Arial"/>
                <w:color w:val="000000"/>
              </w:rPr>
            </w:pPr>
          </w:p>
        </w:tc>
      </w:tr>
    </w:tbl>
    <w:p w14:paraId="5772FE37" w14:textId="77777777" w:rsidR="00D10926" w:rsidRPr="00D10926" w:rsidRDefault="00D10926" w:rsidP="0012134D">
      <w:pPr>
        <w:overflowPunct w:val="0"/>
        <w:autoSpaceDE w:val="0"/>
        <w:autoSpaceDN w:val="0"/>
        <w:adjustRightInd w:val="0"/>
        <w:spacing w:after="0" w:line="240" w:lineRule="auto"/>
        <w:textAlignment w:val="baseline"/>
        <w:rPr>
          <w:rFonts w:ascii="Arial" w:hAnsi="Arial"/>
        </w:rPr>
      </w:pPr>
    </w:p>
    <w:p w14:paraId="718F556D" w14:textId="77777777" w:rsidR="00D10926" w:rsidRDefault="00D10926" w:rsidP="0012134D">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p w14:paraId="286CC862" w14:textId="77777777" w:rsidR="0012134D" w:rsidRPr="00D10926" w:rsidRDefault="0012134D" w:rsidP="0012134D">
      <w:pPr>
        <w:overflowPunct w:val="0"/>
        <w:autoSpaceDE w:val="0"/>
        <w:autoSpaceDN w:val="0"/>
        <w:adjustRightInd w:val="0"/>
        <w:spacing w:after="0" w:line="240" w:lineRule="auto"/>
        <w:textAlignment w:val="baseline"/>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390FE1" w14:paraId="3288ED27" w14:textId="77777777" w:rsidTr="005718CD">
        <w:tc>
          <w:tcPr>
            <w:tcW w:w="9747" w:type="dxa"/>
            <w:gridSpan w:val="4"/>
            <w:shd w:val="clear" w:color="auto" w:fill="D9D9D9"/>
          </w:tcPr>
          <w:p w14:paraId="22CD2173"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390FE1" w14:paraId="2D978C0F" w14:textId="77777777" w:rsidTr="005718CD">
        <w:tc>
          <w:tcPr>
            <w:tcW w:w="2518" w:type="dxa"/>
            <w:shd w:val="clear" w:color="auto" w:fill="D9D9D9"/>
          </w:tcPr>
          <w:p w14:paraId="49FEC9BC"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4E8DFF99"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3893634E"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09556F32" w14:textId="77777777" w:rsidR="00D10926" w:rsidRPr="00D10926" w:rsidRDefault="00D10926" w:rsidP="0012134D">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390FE1" w14:paraId="77EA6BC3" w14:textId="77777777" w:rsidTr="005718CD">
        <w:tc>
          <w:tcPr>
            <w:tcW w:w="2518" w:type="dxa"/>
            <w:shd w:val="clear" w:color="auto" w:fill="auto"/>
          </w:tcPr>
          <w:p w14:paraId="29E4EC73" w14:textId="77777777" w:rsidR="00D10926" w:rsidRDefault="00D10926" w:rsidP="0012134D">
            <w:pPr>
              <w:spacing w:after="0" w:line="240" w:lineRule="auto"/>
              <w:jc w:val="center"/>
              <w:rPr>
                <w:rFonts w:ascii="Arial" w:hAnsi="Arial" w:cs="Arial"/>
                <w:color w:val="000000"/>
              </w:rPr>
            </w:pPr>
          </w:p>
          <w:p w14:paraId="4E4FB8D1" w14:textId="77777777" w:rsidR="00C62850" w:rsidRPr="00D10926" w:rsidRDefault="00C62850" w:rsidP="0012134D">
            <w:pPr>
              <w:spacing w:after="0" w:line="240" w:lineRule="auto"/>
              <w:jc w:val="center"/>
              <w:rPr>
                <w:rFonts w:ascii="Arial" w:hAnsi="Arial" w:cs="Arial"/>
                <w:color w:val="000000"/>
              </w:rPr>
            </w:pPr>
          </w:p>
        </w:tc>
        <w:tc>
          <w:tcPr>
            <w:tcW w:w="3119" w:type="dxa"/>
            <w:shd w:val="clear" w:color="auto" w:fill="auto"/>
          </w:tcPr>
          <w:p w14:paraId="6371F6E0" w14:textId="77777777" w:rsidR="00D10926" w:rsidRDefault="00D10926" w:rsidP="0012134D">
            <w:pPr>
              <w:spacing w:after="0" w:line="240" w:lineRule="auto"/>
              <w:jc w:val="center"/>
              <w:rPr>
                <w:rFonts w:ascii="Arial" w:hAnsi="Arial" w:cs="Arial"/>
                <w:color w:val="000000"/>
              </w:rPr>
            </w:pPr>
          </w:p>
          <w:p w14:paraId="2618DE1F" w14:textId="77777777" w:rsidR="00C62850" w:rsidRPr="00D10926" w:rsidRDefault="00C62850" w:rsidP="0012134D">
            <w:pPr>
              <w:spacing w:after="0" w:line="240" w:lineRule="auto"/>
              <w:jc w:val="center"/>
              <w:rPr>
                <w:rFonts w:ascii="Arial" w:hAnsi="Arial" w:cs="Arial"/>
                <w:color w:val="000000"/>
              </w:rPr>
            </w:pPr>
          </w:p>
        </w:tc>
        <w:tc>
          <w:tcPr>
            <w:tcW w:w="2693" w:type="dxa"/>
            <w:shd w:val="clear" w:color="auto" w:fill="auto"/>
          </w:tcPr>
          <w:p w14:paraId="230E1093" w14:textId="77777777" w:rsidR="00D10926" w:rsidRDefault="00D10926" w:rsidP="0012134D">
            <w:pPr>
              <w:spacing w:after="0" w:line="240" w:lineRule="auto"/>
              <w:jc w:val="center"/>
              <w:rPr>
                <w:rFonts w:ascii="Arial" w:hAnsi="Arial" w:cs="Arial"/>
                <w:color w:val="000000"/>
              </w:rPr>
            </w:pPr>
          </w:p>
          <w:p w14:paraId="6D9E8B8D" w14:textId="77777777" w:rsidR="00C62850" w:rsidRPr="00D10926" w:rsidRDefault="00C62850" w:rsidP="0012134D">
            <w:pPr>
              <w:spacing w:after="0" w:line="240" w:lineRule="auto"/>
              <w:jc w:val="center"/>
              <w:rPr>
                <w:rFonts w:ascii="Arial" w:hAnsi="Arial" w:cs="Arial"/>
                <w:color w:val="000000"/>
              </w:rPr>
            </w:pPr>
          </w:p>
        </w:tc>
        <w:tc>
          <w:tcPr>
            <w:tcW w:w="1417" w:type="dxa"/>
            <w:shd w:val="clear" w:color="auto" w:fill="auto"/>
          </w:tcPr>
          <w:p w14:paraId="765C8A3E" w14:textId="77777777" w:rsidR="00D10926" w:rsidRDefault="00D10926" w:rsidP="0012134D">
            <w:pPr>
              <w:spacing w:after="0" w:line="240" w:lineRule="auto"/>
              <w:jc w:val="center"/>
              <w:rPr>
                <w:rFonts w:ascii="Arial" w:hAnsi="Arial" w:cs="Arial"/>
                <w:color w:val="000000"/>
              </w:rPr>
            </w:pPr>
          </w:p>
          <w:p w14:paraId="57306DA0" w14:textId="77777777" w:rsidR="00C62850" w:rsidRPr="00D10926" w:rsidRDefault="00C62850" w:rsidP="0012134D">
            <w:pPr>
              <w:spacing w:after="0" w:line="240" w:lineRule="auto"/>
              <w:jc w:val="center"/>
              <w:rPr>
                <w:rFonts w:ascii="Arial" w:hAnsi="Arial" w:cs="Arial"/>
                <w:color w:val="000000"/>
              </w:rPr>
            </w:pPr>
          </w:p>
        </w:tc>
      </w:tr>
    </w:tbl>
    <w:p w14:paraId="4B1900AD" w14:textId="77777777" w:rsidR="0012134D" w:rsidRDefault="0012134D" w:rsidP="0012134D">
      <w:pPr>
        <w:overflowPunct w:val="0"/>
        <w:autoSpaceDE w:val="0"/>
        <w:autoSpaceDN w:val="0"/>
        <w:adjustRightInd w:val="0"/>
        <w:spacing w:after="0" w:line="240" w:lineRule="auto"/>
        <w:textAlignment w:val="baseline"/>
        <w:rPr>
          <w:rFonts w:ascii="Arial" w:hAnsi="Arial"/>
          <w:b/>
        </w:rPr>
      </w:pPr>
    </w:p>
    <w:p w14:paraId="270E0AEB" w14:textId="77777777" w:rsidR="0012134D" w:rsidRDefault="0012134D" w:rsidP="0012134D">
      <w:pPr>
        <w:overflowPunct w:val="0"/>
        <w:autoSpaceDE w:val="0"/>
        <w:autoSpaceDN w:val="0"/>
        <w:adjustRightInd w:val="0"/>
        <w:spacing w:after="0" w:line="240" w:lineRule="auto"/>
        <w:textAlignment w:val="baseline"/>
        <w:rPr>
          <w:rFonts w:ascii="Arial" w:hAnsi="Arial"/>
          <w:b/>
        </w:rPr>
      </w:pPr>
    </w:p>
    <w:p w14:paraId="1A53BD7C" w14:textId="77777777" w:rsidR="0012134D" w:rsidRDefault="0012134D" w:rsidP="0012134D">
      <w:pPr>
        <w:overflowPunct w:val="0"/>
        <w:autoSpaceDE w:val="0"/>
        <w:autoSpaceDN w:val="0"/>
        <w:adjustRightInd w:val="0"/>
        <w:spacing w:after="0" w:line="240" w:lineRule="auto"/>
        <w:textAlignment w:val="baseline"/>
        <w:rPr>
          <w:rFonts w:ascii="Arial" w:hAnsi="Arial"/>
          <w:b/>
        </w:rPr>
      </w:pPr>
    </w:p>
    <w:p w14:paraId="77351378" w14:textId="60C5AB91" w:rsidR="00D10926" w:rsidRDefault="00D10926" w:rsidP="0012134D">
      <w:pPr>
        <w:overflowPunct w:val="0"/>
        <w:autoSpaceDE w:val="0"/>
        <w:autoSpaceDN w:val="0"/>
        <w:adjustRightInd w:val="0"/>
        <w:spacing w:after="0" w:line="240" w:lineRule="auto"/>
        <w:textAlignment w:val="baseline"/>
        <w:rPr>
          <w:rFonts w:ascii="Arial" w:hAnsi="Arial"/>
          <w:b/>
        </w:rPr>
      </w:pPr>
      <w:r w:rsidRPr="00D10926">
        <w:rPr>
          <w:rFonts w:ascii="Arial" w:hAnsi="Arial"/>
          <w:b/>
        </w:rPr>
        <w:lastRenderedPageBreak/>
        <w:t>Note to authorising manager</w:t>
      </w:r>
    </w:p>
    <w:p w14:paraId="1B25F6FA" w14:textId="77777777" w:rsidR="0012134D" w:rsidRPr="00D10926" w:rsidRDefault="0012134D" w:rsidP="0012134D">
      <w:pPr>
        <w:overflowPunct w:val="0"/>
        <w:autoSpaceDE w:val="0"/>
        <w:autoSpaceDN w:val="0"/>
        <w:adjustRightInd w:val="0"/>
        <w:spacing w:after="0" w:line="240" w:lineRule="auto"/>
        <w:textAlignment w:val="baseline"/>
        <w:rPr>
          <w:rFonts w:ascii="Arial" w:hAnsi="Arial"/>
          <w:b/>
        </w:rPr>
      </w:pPr>
    </w:p>
    <w:p w14:paraId="4A38D7B5" w14:textId="77777777" w:rsidR="00D10926" w:rsidRDefault="00D10926" w:rsidP="0012134D">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4FF3DD8A" w14:textId="77777777" w:rsidR="0012134D" w:rsidRPr="00D10926" w:rsidRDefault="0012134D" w:rsidP="0012134D">
      <w:pPr>
        <w:spacing w:after="0" w:line="240" w:lineRule="auto"/>
        <w:rPr>
          <w:rFonts w:ascii="Arial" w:hAnsi="Arial"/>
        </w:rPr>
      </w:pPr>
    </w:p>
    <w:p w14:paraId="01B81100" w14:textId="77777777" w:rsidR="00D10926" w:rsidRDefault="00D10926" w:rsidP="0012134D">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536A4AE" w14:textId="77777777" w:rsidR="0012134D" w:rsidRPr="00D10926" w:rsidRDefault="0012134D" w:rsidP="0012134D">
      <w:pPr>
        <w:spacing w:after="0" w:line="240" w:lineRule="auto"/>
        <w:rPr>
          <w:rFonts w:ascii="Arial" w:hAnsi="Arial"/>
        </w:rPr>
      </w:pPr>
    </w:p>
    <w:p w14:paraId="0D70E31A" w14:textId="77777777" w:rsidR="00725927" w:rsidRPr="00F821C9" w:rsidRDefault="00725927" w:rsidP="0012134D">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3EC51578" w14:textId="77777777" w:rsidR="00E11FE0" w:rsidRDefault="00E11FE0" w:rsidP="0012134D">
      <w:pPr>
        <w:pStyle w:val="NICEnormal"/>
        <w:spacing w:after="0" w:line="240" w:lineRule="auto"/>
        <w:rPr>
          <w:rFonts w:cs="Arial"/>
          <w:lang w:val="en-GB"/>
        </w:rPr>
      </w:pPr>
    </w:p>
    <w:bookmarkEnd w:id="0"/>
    <w:bookmarkEnd w:id="1"/>
    <w:bookmarkEnd w:id="2"/>
    <w:p w14:paraId="29D56FD7" w14:textId="77777777" w:rsidR="00E11FE0" w:rsidRDefault="00E11FE0" w:rsidP="0012134D">
      <w:pPr>
        <w:pStyle w:val="NICEnormal"/>
        <w:spacing w:after="0" w:line="240" w:lineRule="auto"/>
        <w:rPr>
          <w:rFonts w:cs="Arial"/>
          <w:lang w:val="en-GB"/>
        </w:rPr>
      </w:pPr>
    </w:p>
    <w:sectPr w:rsidR="00E11FE0" w:rsidSect="00B64921">
      <w:headerReference w:type="default" r:id="rId27"/>
      <w:footerReference w:type="default" r:id="rId28"/>
      <w:pgSz w:w="11907" w:h="16840" w:code="9"/>
      <w:pgMar w:top="1134"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8732" w14:textId="77777777" w:rsidR="00E27D11" w:rsidRDefault="00E27D11">
      <w:r>
        <w:separator/>
      </w:r>
    </w:p>
  </w:endnote>
  <w:endnote w:type="continuationSeparator" w:id="0">
    <w:p w14:paraId="4B193046" w14:textId="77777777" w:rsidR="00E27D11" w:rsidRDefault="00E2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2DFB" w14:textId="77777777" w:rsidR="006B4D46" w:rsidRPr="0044281C" w:rsidRDefault="006B4D46" w:rsidP="00837B25">
    <w:pPr>
      <w:pStyle w:val="Footer"/>
      <w:rPr>
        <w:sz w:val="22"/>
        <w:highlight w:val="cyan"/>
      </w:rPr>
    </w:pPr>
    <w:r w:rsidRPr="0044281C">
      <w:rPr>
        <w:sz w:val="22"/>
        <w:highlight w:val="cyan"/>
      </w:rPr>
      <w:t>Reference Number:</w:t>
    </w:r>
  </w:p>
  <w:p w14:paraId="6F229BA5" w14:textId="77777777" w:rsidR="006B4D46" w:rsidRPr="0044281C" w:rsidRDefault="006B4D46" w:rsidP="00837B25">
    <w:pPr>
      <w:pStyle w:val="Footer"/>
      <w:rPr>
        <w:sz w:val="22"/>
        <w:highlight w:val="cyan"/>
      </w:rPr>
    </w:pPr>
    <w:r w:rsidRPr="0044281C">
      <w:rPr>
        <w:sz w:val="22"/>
        <w:highlight w:val="cyan"/>
      </w:rPr>
      <w:t>Valid from:</w:t>
    </w:r>
  </w:p>
  <w:p w14:paraId="1DBA0241" w14:textId="77777777" w:rsidR="006B4D46" w:rsidRPr="0044281C" w:rsidRDefault="006B4D46" w:rsidP="00837B25">
    <w:pPr>
      <w:pStyle w:val="Footer"/>
      <w:rPr>
        <w:sz w:val="22"/>
        <w:highlight w:val="cyan"/>
      </w:rPr>
    </w:pPr>
    <w:r w:rsidRPr="0044281C">
      <w:rPr>
        <w:sz w:val="22"/>
        <w:highlight w:val="cyan"/>
      </w:rPr>
      <w:t>Review date:</w:t>
    </w:r>
  </w:p>
  <w:p w14:paraId="03F52E17"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E4565F">
      <w:rPr>
        <w:noProof/>
      </w:rPr>
      <w:t>10</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87E5" w14:textId="77777777" w:rsidR="00E27D11" w:rsidRDefault="00E27D11">
      <w:r>
        <w:separator/>
      </w:r>
    </w:p>
  </w:footnote>
  <w:footnote w:type="continuationSeparator" w:id="0">
    <w:p w14:paraId="5FBC8BA5" w14:textId="77777777" w:rsidR="00E27D11" w:rsidRDefault="00E2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6E82"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758CB"/>
    <w:multiLevelType w:val="hybridMultilevel"/>
    <w:tmpl w:val="E21E53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EA2EE6"/>
    <w:multiLevelType w:val="hybridMultilevel"/>
    <w:tmpl w:val="71ECD6E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46941"/>
    <w:multiLevelType w:val="hybridMultilevel"/>
    <w:tmpl w:val="60DAE28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F14166"/>
    <w:multiLevelType w:val="hybridMultilevel"/>
    <w:tmpl w:val="51FEE43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F2A1A"/>
    <w:multiLevelType w:val="hybridMultilevel"/>
    <w:tmpl w:val="BB30B14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752305"/>
    <w:multiLevelType w:val="hybridMultilevel"/>
    <w:tmpl w:val="7E96C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15797"/>
    <w:multiLevelType w:val="hybridMultilevel"/>
    <w:tmpl w:val="C28C0936"/>
    <w:lvl w:ilvl="0" w:tplc="FFFFFFFF">
      <w:start w:val="1"/>
      <w:numFmt w:val="decimal"/>
      <w:pStyle w:val="Paragraph"/>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70D1B"/>
    <w:multiLevelType w:val="hybridMultilevel"/>
    <w:tmpl w:val="F168A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951BA1"/>
    <w:multiLevelType w:val="hybridMultilevel"/>
    <w:tmpl w:val="32DA3F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8180F38"/>
    <w:multiLevelType w:val="hybridMultilevel"/>
    <w:tmpl w:val="04BAD56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1AC7F69"/>
    <w:multiLevelType w:val="hybridMultilevel"/>
    <w:tmpl w:val="D882B02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E853F9"/>
    <w:multiLevelType w:val="hybridMultilevel"/>
    <w:tmpl w:val="266EAAC2"/>
    <w:lvl w:ilvl="0" w:tplc="FFFFFFFF">
      <w:start w:val="1"/>
      <w:numFmt w:val="bullet"/>
      <w:pStyle w:val="Subbullets"/>
      <w:lvlText w:val="­"/>
      <w:lvlJc w:val="left"/>
      <w:pPr>
        <w:ind w:left="1588" w:hanging="454"/>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984751"/>
    <w:multiLevelType w:val="hybridMultilevel"/>
    <w:tmpl w:val="4060FA3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6F40A67"/>
    <w:multiLevelType w:val="hybridMultilevel"/>
    <w:tmpl w:val="97C024D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8A86A3E"/>
    <w:multiLevelType w:val="hybridMultilevel"/>
    <w:tmpl w:val="B59CA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CCD60AC"/>
    <w:multiLevelType w:val="hybridMultilevel"/>
    <w:tmpl w:val="E3B2B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AA4B07"/>
    <w:multiLevelType w:val="hybridMultilevel"/>
    <w:tmpl w:val="2A045A7E"/>
    <w:lvl w:ilvl="0" w:tplc="FFFFFFFF">
      <w:start w:val="1"/>
      <w:numFmt w:val="bullet"/>
      <w:pStyle w:val="Bulletosteotable"/>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11296"/>
    <w:multiLevelType w:val="hybridMultilevel"/>
    <w:tmpl w:val="7F0C87D4"/>
    <w:lvl w:ilvl="0" w:tplc="FFFFFFFF">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371296"/>
    <w:multiLevelType w:val="multilevel"/>
    <w:tmpl w:val="3724ADF8"/>
    <w:numStyleLink w:val="NiceNumbering"/>
  </w:abstractNum>
  <w:abstractNum w:abstractNumId="21" w15:restartNumberingAfterBreak="0">
    <w:nsid w:val="34026D42"/>
    <w:multiLevelType w:val="hybridMultilevel"/>
    <w:tmpl w:val="8A14AA5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4A7197A"/>
    <w:multiLevelType w:val="hybridMultilevel"/>
    <w:tmpl w:val="73A63A08"/>
    <w:lvl w:ilvl="0" w:tplc="FFFFFFFF">
      <w:start w:val="1"/>
      <w:numFmt w:val="decimal"/>
      <w:pStyle w:val="Questio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63649E"/>
    <w:multiLevelType w:val="hybridMultilevel"/>
    <w:tmpl w:val="9886D99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BF44440"/>
    <w:multiLevelType w:val="hybridMultilevel"/>
    <w:tmpl w:val="47502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622A3A"/>
    <w:multiLevelType w:val="hybridMultilevel"/>
    <w:tmpl w:val="652815C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1105258"/>
    <w:multiLevelType w:val="hybridMultilevel"/>
    <w:tmpl w:val="6D62AC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3936E4"/>
    <w:multiLevelType w:val="hybridMultilevel"/>
    <w:tmpl w:val="EAC408E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A4D415D"/>
    <w:multiLevelType w:val="hybridMultilevel"/>
    <w:tmpl w:val="ACF0017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C99593C"/>
    <w:multiLevelType w:val="hybridMultilevel"/>
    <w:tmpl w:val="1F28CB6C"/>
    <w:lvl w:ilvl="0" w:tplc="FFFFFFFF">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31" w15:restartNumberingAfterBreak="0">
    <w:nsid w:val="4F3A2DE3"/>
    <w:multiLevelType w:val="hybridMultilevel"/>
    <w:tmpl w:val="5706F8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09F37DC"/>
    <w:multiLevelType w:val="hybridMultilevel"/>
    <w:tmpl w:val="61009CB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2670520"/>
    <w:multiLevelType w:val="hybridMultilevel"/>
    <w:tmpl w:val="AE4E8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B857E6"/>
    <w:multiLevelType w:val="hybridMultilevel"/>
    <w:tmpl w:val="B482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5DF571C"/>
    <w:multiLevelType w:val="hybridMultilevel"/>
    <w:tmpl w:val="1E04E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6F2189"/>
    <w:multiLevelType w:val="hybridMultilevel"/>
    <w:tmpl w:val="24F8CBCE"/>
    <w:lvl w:ilvl="0" w:tplc="FFFFFFFF">
      <w:start w:val="1"/>
      <w:numFmt w:val="bullet"/>
      <w:pStyle w:val="Bullets"/>
      <w:lvlText w:val=""/>
      <w:lvlJc w:val="left"/>
      <w:pPr>
        <w:ind w:left="113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4B1CBA"/>
    <w:multiLevelType w:val="hybridMultilevel"/>
    <w:tmpl w:val="6A6E9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4C4F0F"/>
    <w:multiLevelType w:val="hybridMultilevel"/>
    <w:tmpl w:val="EE361E92"/>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D760B57"/>
    <w:multiLevelType w:val="hybridMultilevel"/>
    <w:tmpl w:val="4F48100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43"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4"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5" w15:restartNumberingAfterBreak="0">
    <w:nsid w:val="786B6255"/>
    <w:multiLevelType w:val="hybridMultilevel"/>
    <w:tmpl w:val="7698483A"/>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8BE70D9"/>
    <w:multiLevelType w:val="hybridMultilevel"/>
    <w:tmpl w:val="7124130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9C310EC"/>
    <w:multiLevelType w:val="hybridMultilevel"/>
    <w:tmpl w:val="B1300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9" w15:restartNumberingAfterBreak="0">
    <w:nsid w:val="7EC46A70"/>
    <w:multiLevelType w:val="hybridMultilevel"/>
    <w:tmpl w:val="265E441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FCD1E4F"/>
    <w:multiLevelType w:val="hybridMultilevel"/>
    <w:tmpl w:val="CACCAF7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10610429">
    <w:abstractNumId w:val="36"/>
  </w:num>
  <w:num w:numId="2" w16cid:durableId="2015718697">
    <w:abstractNumId w:val="38"/>
    <w:lvlOverride w:ilvl="0">
      <w:startOverride w:val="1"/>
    </w:lvlOverride>
  </w:num>
  <w:num w:numId="3" w16cid:durableId="111680283">
    <w:abstractNumId w:val="12"/>
    <w:lvlOverride w:ilvl="0">
      <w:startOverride w:val="1"/>
    </w:lvlOverride>
  </w:num>
  <w:num w:numId="4" w16cid:durableId="55247726">
    <w:abstractNumId w:val="22"/>
  </w:num>
  <w:num w:numId="5" w16cid:durableId="858276158">
    <w:abstractNumId w:val="43"/>
  </w:num>
  <w:num w:numId="6" w16cid:durableId="668949839">
    <w:abstractNumId w:val="44"/>
  </w:num>
  <w:num w:numId="7" w16cid:durableId="1954902532">
    <w:abstractNumId w:val="30"/>
  </w:num>
  <w:num w:numId="8" w16cid:durableId="1174299992">
    <w:abstractNumId w:val="18"/>
  </w:num>
  <w:num w:numId="9" w16cid:durableId="1014956983">
    <w:abstractNumId w:val="42"/>
  </w:num>
  <w:num w:numId="10" w16cid:durableId="856890089">
    <w:abstractNumId w:val="20"/>
  </w:num>
  <w:num w:numId="11" w16cid:durableId="530413136">
    <w:abstractNumId w:val="48"/>
  </w:num>
  <w:num w:numId="12" w16cid:durableId="810100225">
    <w:abstractNumId w:val="7"/>
  </w:num>
  <w:num w:numId="13" w16cid:durableId="616717069">
    <w:abstractNumId w:val="0"/>
  </w:num>
  <w:num w:numId="14" w16cid:durableId="966084406">
    <w:abstractNumId w:val="46"/>
  </w:num>
  <w:num w:numId="15" w16cid:durableId="408965173">
    <w:abstractNumId w:val="40"/>
  </w:num>
  <w:num w:numId="16" w16cid:durableId="1392120275">
    <w:abstractNumId w:val="49"/>
  </w:num>
  <w:num w:numId="17" w16cid:durableId="2064062915">
    <w:abstractNumId w:val="23"/>
  </w:num>
  <w:num w:numId="18" w16cid:durableId="1992832200">
    <w:abstractNumId w:val="11"/>
  </w:num>
  <w:num w:numId="19" w16cid:durableId="315036252">
    <w:abstractNumId w:val="13"/>
  </w:num>
  <w:num w:numId="20" w16cid:durableId="188492160">
    <w:abstractNumId w:val="27"/>
  </w:num>
  <w:num w:numId="21" w16cid:durableId="1144659071">
    <w:abstractNumId w:val="33"/>
  </w:num>
  <w:num w:numId="22" w16cid:durableId="1835756743">
    <w:abstractNumId w:val="2"/>
  </w:num>
  <w:num w:numId="23" w16cid:durableId="1808165936">
    <w:abstractNumId w:val="25"/>
  </w:num>
  <w:num w:numId="24" w16cid:durableId="1222255637">
    <w:abstractNumId w:val="50"/>
  </w:num>
  <w:num w:numId="25" w16cid:durableId="1720664771">
    <w:abstractNumId w:val="9"/>
  </w:num>
  <w:num w:numId="26" w16cid:durableId="52778519">
    <w:abstractNumId w:val="5"/>
  </w:num>
  <w:num w:numId="27" w16cid:durableId="10223765">
    <w:abstractNumId w:val="10"/>
  </w:num>
  <w:num w:numId="28" w16cid:durableId="73626671">
    <w:abstractNumId w:val="3"/>
  </w:num>
  <w:num w:numId="29" w16cid:durableId="91515651">
    <w:abstractNumId w:val="32"/>
  </w:num>
  <w:num w:numId="30" w16cid:durableId="614407822">
    <w:abstractNumId w:val="14"/>
  </w:num>
  <w:num w:numId="31" w16cid:durableId="1655447278">
    <w:abstractNumId w:val="28"/>
  </w:num>
  <w:num w:numId="32" w16cid:durableId="978803501">
    <w:abstractNumId w:val="21"/>
  </w:num>
  <w:num w:numId="33" w16cid:durableId="226037141">
    <w:abstractNumId w:val="45"/>
  </w:num>
  <w:num w:numId="34" w16cid:durableId="1160384839">
    <w:abstractNumId w:val="41"/>
  </w:num>
  <w:num w:numId="35" w16cid:durableId="263005305">
    <w:abstractNumId w:val="1"/>
  </w:num>
  <w:num w:numId="36" w16cid:durableId="1560020550">
    <w:abstractNumId w:val="26"/>
  </w:num>
  <w:num w:numId="37" w16cid:durableId="1899315343">
    <w:abstractNumId w:val="8"/>
  </w:num>
  <w:num w:numId="38" w16cid:durableId="534511676">
    <w:abstractNumId w:val="31"/>
  </w:num>
  <w:num w:numId="39" w16cid:durableId="651257625">
    <w:abstractNumId w:val="47"/>
  </w:num>
  <w:num w:numId="40" w16cid:durableId="346761665">
    <w:abstractNumId w:val="6"/>
  </w:num>
  <w:num w:numId="41" w16cid:durableId="1895969053">
    <w:abstractNumId w:val="35"/>
  </w:num>
  <w:num w:numId="42" w16cid:durableId="1201094808">
    <w:abstractNumId w:val="24"/>
  </w:num>
  <w:num w:numId="43" w16cid:durableId="52893421">
    <w:abstractNumId w:val="19"/>
  </w:num>
  <w:num w:numId="44" w16cid:durableId="736440388">
    <w:abstractNumId w:val="29"/>
  </w:num>
  <w:num w:numId="45" w16cid:durableId="396786156">
    <w:abstractNumId w:val="4"/>
  </w:num>
  <w:num w:numId="46" w16cid:durableId="479269119">
    <w:abstractNumId w:val="17"/>
  </w:num>
  <w:num w:numId="47" w16cid:durableId="2071079497">
    <w:abstractNumId w:val="39"/>
  </w:num>
  <w:num w:numId="48" w16cid:durableId="2067483058">
    <w:abstractNumId w:val="37"/>
  </w:num>
  <w:num w:numId="49" w16cid:durableId="1565480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52DB"/>
    <w:rsid w:val="000065D4"/>
    <w:rsid w:val="000102A3"/>
    <w:rsid w:val="00017F41"/>
    <w:rsid w:val="00022601"/>
    <w:rsid w:val="0002298F"/>
    <w:rsid w:val="00024FDE"/>
    <w:rsid w:val="00031DE4"/>
    <w:rsid w:val="0003249A"/>
    <w:rsid w:val="00036708"/>
    <w:rsid w:val="00037F07"/>
    <w:rsid w:val="0004152E"/>
    <w:rsid w:val="0004289C"/>
    <w:rsid w:val="00043DD4"/>
    <w:rsid w:val="00047F9B"/>
    <w:rsid w:val="00051159"/>
    <w:rsid w:val="00051AAD"/>
    <w:rsid w:val="000524CF"/>
    <w:rsid w:val="00054187"/>
    <w:rsid w:val="0006306E"/>
    <w:rsid w:val="00071F58"/>
    <w:rsid w:val="00072490"/>
    <w:rsid w:val="0007357B"/>
    <w:rsid w:val="00073B6D"/>
    <w:rsid w:val="0007473C"/>
    <w:rsid w:val="00076494"/>
    <w:rsid w:val="00081AA6"/>
    <w:rsid w:val="00081B91"/>
    <w:rsid w:val="000856ED"/>
    <w:rsid w:val="00091032"/>
    <w:rsid w:val="000912CD"/>
    <w:rsid w:val="00091E6A"/>
    <w:rsid w:val="00094814"/>
    <w:rsid w:val="00096257"/>
    <w:rsid w:val="00096296"/>
    <w:rsid w:val="0009730C"/>
    <w:rsid w:val="000A4616"/>
    <w:rsid w:val="000A7F4E"/>
    <w:rsid w:val="000B11F9"/>
    <w:rsid w:val="000B2929"/>
    <w:rsid w:val="000B2B38"/>
    <w:rsid w:val="000C32F8"/>
    <w:rsid w:val="000D7528"/>
    <w:rsid w:val="000D7704"/>
    <w:rsid w:val="000E2E30"/>
    <w:rsid w:val="000E6EC0"/>
    <w:rsid w:val="000E71C7"/>
    <w:rsid w:val="000F1CAB"/>
    <w:rsid w:val="000F2350"/>
    <w:rsid w:val="000F3206"/>
    <w:rsid w:val="000F4B18"/>
    <w:rsid w:val="000F4FC5"/>
    <w:rsid w:val="000F555A"/>
    <w:rsid w:val="000F6DF5"/>
    <w:rsid w:val="001016BC"/>
    <w:rsid w:val="00102CA6"/>
    <w:rsid w:val="00104F7D"/>
    <w:rsid w:val="00106056"/>
    <w:rsid w:val="00110308"/>
    <w:rsid w:val="00110E70"/>
    <w:rsid w:val="00112BE0"/>
    <w:rsid w:val="00114E94"/>
    <w:rsid w:val="00114F02"/>
    <w:rsid w:val="00115048"/>
    <w:rsid w:val="0011562D"/>
    <w:rsid w:val="00120033"/>
    <w:rsid w:val="00120C76"/>
    <w:rsid w:val="0012134D"/>
    <w:rsid w:val="001213BA"/>
    <w:rsid w:val="001260CA"/>
    <w:rsid w:val="001309D6"/>
    <w:rsid w:val="00130C0D"/>
    <w:rsid w:val="00133421"/>
    <w:rsid w:val="00142D2D"/>
    <w:rsid w:val="001438F2"/>
    <w:rsid w:val="001450CF"/>
    <w:rsid w:val="001452AF"/>
    <w:rsid w:val="00145EAA"/>
    <w:rsid w:val="001521AF"/>
    <w:rsid w:val="0015533A"/>
    <w:rsid w:val="00155E25"/>
    <w:rsid w:val="00160703"/>
    <w:rsid w:val="00163BBB"/>
    <w:rsid w:val="00163CE8"/>
    <w:rsid w:val="00165A0E"/>
    <w:rsid w:val="00170722"/>
    <w:rsid w:val="001708B5"/>
    <w:rsid w:val="00170D37"/>
    <w:rsid w:val="00170F9B"/>
    <w:rsid w:val="001717F4"/>
    <w:rsid w:val="0017281B"/>
    <w:rsid w:val="00173124"/>
    <w:rsid w:val="00182359"/>
    <w:rsid w:val="00184E40"/>
    <w:rsid w:val="0018568F"/>
    <w:rsid w:val="00185D9C"/>
    <w:rsid w:val="00191DF2"/>
    <w:rsid w:val="0019584B"/>
    <w:rsid w:val="00195BE6"/>
    <w:rsid w:val="0019622E"/>
    <w:rsid w:val="00197EBE"/>
    <w:rsid w:val="001A0A45"/>
    <w:rsid w:val="001A2597"/>
    <w:rsid w:val="001A4D8B"/>
    <w:rsid w:val="001B0585"/>
    <w:rsid w:val="001B06ED"/>
    <w:rsid w:val="001B0D83"/>
    <w:rsid w:val="001B3087"/>
    <w:rsid w:val="001B34D5"/>
    <w:rsid w:val="001B58D8"/>
    <w:rsid w:val="001B5C09"/>
    <w:rsid w:val="001B63A5"/>
    <w:rsid w:val="001B7FDB"/>
    <w:rsid w:val="001C02E3"/>
    <w:rsid w:val="001D249F"/>
    <w:rsid w:val="001D7D3D"/>
    <w:rsid w:val="001E006A"/>
    <w:rsid w:val="001E1D2B"/>
    <w:rsid w:val="001E3238"/>
    <w:rsid w:val="001E7E43"/>
    <w:rsid w:val="001F0DB2"/>
    <w:rsid w:val="001F32F9"/>
    <w:rsid w:val="001F6143"/>
    <w:rsid w:val="001F6668"/>
    <w:rsid w:val="0020163B"/>
    <w:rsid w:val="00220CF9"/>
    <w:rsid w:val="00221439"/>
    <w:rsid w:val="00222100"/>
    <w:rsid w:val="00223A72"/>
    <w:rsid w:val="00234A16"/>
    <w:rsid w:val="00243191"/>
    <w:rsid w:val="00245F7B"/>
    <w:rsid w:val="0025085E"/>
    <w:rsid w:val="002529F3"/>
    <w:rsid w:val="002548AF"/>
    <w:rsid w:val="00257E60"/>
    <w:rsid w:val="0026236B"/>
    <w:rsid w:val="00262BB2"/>
    <w:rsid w:val="002651BA"/>
    <w:rsid w:val="002740D9"/>
    <w:rsid w:val="00274956"/>
    <w:rsid w:val="0027560B"/>
    <w:rsid w:val="002759EC"/>
    <w:rsid w:val="00277827"/>
    <w:rsid w:val="00277A25"/>
    <w:rsid w:val="002852B2"/>
    <w:rsid w:val="00285B42"/>
    <w:rsid w:val="00290FAB"/>
    <w:rsid w:val="00296701"/>
    <w:rsid w:val="0029769E"/>
    <w:rsid w:val="002A7D61"/>
    <w:rsid w:val="002B5555"/>
    <w:rsid w:val="002B5BAC"/>
    <w:rsid w:val="002B5E5D"/>
    <w:rsid w:val="002B6527"/>
    <w:rsid w:val="002B7C13"/>
    <w:rsid w:val="002C1733"/>
    <w:rsid w:val="002C19DC"/>
    <w:rsid w:val="002C24CE"/>
    <w:rsid w:val="002C67DA"/>
    <w:rsid w:val="002D0D41"/>
    <w:rsid w:val="002D1E59"/>
    <w:rsid w:val="002D4185"/>
    <w:rsid w:val="002E2037"/>
    <w:rsid w:val="002E5FFD"/>
    <w:rsid w:val="002F0860"/>
    <w:rsid w:val="002F134E"/>
    <w:rsid w:val="00301008"/>
    <w:rsid w:val="003015DD"/>
    <w:rsid w:val="00302939"/>
    <w:rsid w:val="00302DFF"/>
    <w:rsid w:val="003111B2"/>
    <w:rsid w:val="003111CC"/>
    <w:rsid w:val="00313283"/>
    <w:rsid w:val="00315465"/>
    <w:rsid w:val="003156DC"/>
    <w:rsid w:val="00317C16"/>
    <w:rsid w:val="003225C3"/>
    <w:rsid w:val="00323120"/>
    <w:rsid w:val="00323184"/>
    <w:rsid w:val="0032598F"/>
    <w:rsid w:val="00330081"/>
    <w:rsid w:val="003317CA"/>
    <w:rsid w:val="0033548C"/>
    <w:rsid w:val="0035096D"/>
    <w:rsid w:val="00351BC4"/>
    <w:rsid w:val="00361290"/>
    <w:rsid w:val="00362EFF"/>
    <w:rsid w:val="0036591D"/>
    <w:rsid w:val="00365CE3"/>
    <w:rsid w:val="0037111A"/>
    <w:rsid w:val="00375AE8"/>
    <w:rsid w:val="0037637C"/>
    <w:rsid w:val="003775A4"/>
    <w:rsid w:val="00381FB5"/>
    <w:rsid w:val="00384C86"/>
    <w:rsid w:val="00386B19"/>
    <w:rsid w:val="00390939"/>
    <w:rsid w:val="00390FE1"/>
    <w:rsid w:val="003919B5"/>
    <w:rsid w:val="0039272E"/>
    <w:rsid w:val="00395DA3"/>
    <w:rsid w:val="003969FE"/>
    <w:rsid w:val="003A0E76"/>
    <w:rsid w:val="003A30B2"/>
    <w:rsid w:val="003A4721"/>
    <w:rsid w:val="003A61A3"/>
    <w:rsid w:val="003B3492"/>
    <w:rsid w:val="003B3958"/>
    <w:rsid w:val="003B3EB7"/>
    <w:rsid w:val="003B5534"/>
    <w:rsid w:val="003B61FD"/>
    <w:rsid w:val="003B71B2"/>
    <w:rsid w:val="003C0722"/>
    <w:rsid w:val="003C266B"/>
    <w:rsid w:val="003C2B8D"/>
    <w:rsid w:val="003D0B25"/>
    <w:rsid w:val="003D23A9"/>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074DA"/>
    <w:rsid w:val="00417611"/>
    <w:rsid w:val="00421D74"/>
    <w:rsid w:val="00430457"/>
    <w:rsid w:val="00430BB0"/>
    <w:rsid w:val="00433897"/>
    <w:rsid w:val="0044276D"/>
    <w:rsid w:val="0044281C"/>
    <w:rsid w:val="004472A5"/>
    <w:rsid w:val="00447D9C"/>
    <w:rsid w:val="004530D6"/>
    <w:rsid w:val="00453FDD"/>
    <w:rsid w:val="00455E1B"/>
    <w:rsid w:val="0045723E"/>
    <w:rsid w:val="00467940"/>
    <w:rsid w:val="00472EA6"/>
    <w:rsid w:val="00473E4D"/>
    <w:rsid w:val="00476876"/>
    <w:rsid w:val="0048006E"/>
    <w:rsid w:val="00480581"/>
    <w:rsid w:val="00481A10"/>
    <w:rsid w:val="0048490B"/>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74E5"/>
    <w:rsid w:val="004C7B63"/>
    <w:rsid w:val="004D11DE"/>
    <w:rsid w:val="004D1C74"/>
    <w:rsid w:val="004D30C0"/>
    <w:rsid w:val="004E08C6"/>
    <w:rsid w:val="004E2CE1"/>
    <w:rsid w:val="004E48B7"/>
    <w:rsid w:val="004E59D9"/>
    <w:rsid w:val="004E691C"/>
    <w:rsid w:val="004F55B1"/>
    <w:rsid w:val="004F6169"/>
    <w:rsid w:val="005001FC"/>
    <w:rsid w:val="00500613"/>
    <w:rsid w:val="00501FBD"/>
    <w:rsid w:val="00502626"/>
    <w:rsid w:val="00502B64"/>
    <w:rsid w:val="00502F31"/>
    <w:rsid w:val="00510803"/>
    <w:rsid w:val="00510BA7"/>
    <w:rsid w:val="00520D02"/>
    <w:rsid w:val="00524295"/>
    <w:rsid w:val="0052487A"/>
    <w:rsid w:val="005248A5"/>
    <w:rsid w:val="005256FA"/>
    <w:rsid w:val="00527391"/>
    <w:rsid w:val="00533FE5"/>
    <w:rsid w:val="005347B6"/>
    <w:rsid w:val="00537E57"/>
    <w:rsid w:val="00540643"/>
    <w:rsid w:val="00543786"/>
    <w:rsid w:val="0054441F"/>
    <w:rsid w:val="00544E14"/>
    <w:rsid w:val="005472C7"/>
    <w:rsid w:val="00547D7B"/>
    <w:rsid w:val="0055149E"/>
    <w:rsid w:val="00554531"/>
    <w:rsid w:val="005554A2"/>
    <w:rsid w:val="00557607"/>
    <w:rsid w:val="00557DB1"/>
    <w:rsid w:val="00561CE9"/>
    <w:rsid w:val="00564E5B"/>
    <w:rsid w:val="005662A5"/>
    <w:rsid w:val="005663A9"/>
    <w:rsid w:val="0056643E"/>
    <w:rsid w:val="00567220"/>
    <w:rsid w:val="00567847"/>
    <w:rsid w:val="00570E3D"/>
    <w:rsid w:val="005718CD"/>
    <w:rsid w:val="005806DB"/>
    <w:rsid w:val="00583011"/>
    <w:rsid w:val="005948FC"/>
    <w:rsid w:val="005949EA"/>
    <w:rsid w:val="005A2FAD"/>
    <w:rsid w:val="005A5897"/>
    <w:rsid w:val="005A7D8A"/>
    <w:rsid w:val="005B2595"/>
    <w:rsid w:val="005B5BD8"/>
    <w:rsid w:val="005B728D"/>
    <w:rsid w:val="005B768E"/>
    <w:rsid w:val="005C020A"/>
    <w:rsid w:val="005C2326"/>
    <w:rsid w:val="005C2AC1"/>
    <w:rsid w:val="005C62A1"/>
    <w:rsid w:val="005C6771"/>
    <w:rsid w:val="005D3148"/>
    <w:rsid w:val="005D4154"/>
    <w:rsid w:val="005D5304"/>
    <w:rsid w:val="005D7A63"/>
    <w:rsid w:val="005F1603"/>
    <w:rsid w:val="005F19A7"/>
    <w:rsid w:val="005F20C2"/>
    <w:rsid w:val="005F3623"/>
    <w:rsid w:val="005F4864"/>
    <w:rsid w:val="005F4940"/>
    <w:rsid w:val="00602CB0"/>
    <w:rsid w:val="00602DA3"/>
    <w:rsid w:val="006125EC"/>
    <w:rsid w:val="006165DF"/>
    <w:rsid w:val="006208D3"/>
    <w:rsid w:val="0062242D"/>
    <w:rsid w:val="00623945"/>
    <w:rsid w:val="00624836"/>
    <w:rsid w:val="00625390"/>
    <w:rsid w:val="0062633A"/>
    <w:rsid w:val="006315FC"/>
    <w:rsid w:val="00633A98"/>
    <w:rsid w:val="00634008"/>
    <w:rsid w:val="006360AF"/>
    <w:rsid w:val="0063779A"/>
    <w:rsid w:val="00644779"/>
    <w:rsid w:val="0065215A"/>
    <w:rsid w:val="006534D9"/>
    <w:rsid w:val="00654491"/>
    <w:rsid w:val="006565AD"/>
    <w:rsid w:val="006604BA"/>
    <w:rsid w:val="00665687"/>
    <w:rsid w:val="0066570C"/>
    <w:rsid w:val="0067000A"/>
    <w:rsid w:val="006735EC"/>
    <w:rsid w:val="00673F73"/>
    <w:rsid w:val="006830D0"/>
    <w:rsid w:val="006833EE"/>
    <w:rsid w:val="006843FA"/>
    <w:rsid w:val="00685DE2"/>
    <w:rsid w:val="00687988"/>
    <w:rsid w:val="0069351C"/>
    <w:rsid w:val="006A1599"/>
    <w:rsid w:val="006A200B"/>
    <w:rsid w:val="006A2629"/>
    <w:rsid w:val="006A2C5D"/>
    <w:rsid w:val="006A4706"/>
    <w:rsid w:val="006B0B01"/>
    <w:rsid w:val="006B2D85"/>
    <w:rsid w:val="006B39B2"/>
    <w:rsid w:val="006B4D46"/>
    <w:rsid w:val="006B705E"/>
    <w:rsid w:val="006C005F"/>
    <w:rsid w:val="006C0B7C"/>
    <w:rsid w:val="006C22A9"/>
    <w:rsid w:val="006C3893"/>
    <w:rsid w:val="006C40A5"/>
    <w:rsid w:val="006C78C7"/>
    <w:rsid w:val="006D077C"/>
    <w:rsid w:val="006D3EFE"/>
    <w:rsid w:val="006D6254"/>
    <w:rsid w:val="006D73BC"/>
    <w:rsid w:val="006D7677"/>
    <w:rsid w:val="006E1A15"/>
    <w:rsid w:val="006F08DD"/>
    <w:rsid w:val="006F0AE1"/>
    <w:rsid w:val="006F1BA4"/>
    <w:rsid w:val="006F555A"/>
    <w:rsid w:val="00700944"/>
    <w:rsid w:val="00700E58"/>
    <w:rsid w:val="00701409"/>
    <w:rsid w:val="0070211B"/>
    <w:rsid w:val="00711452"/>
    <w:rsid w:val="00713AB2"/>
    <w:rsid w:val="0071562D"/>
    <w:rsid w:val="0072075D"/>
    <w:rsid w:val="00722BE5"/>
    <w:rsid w:val="00724859"/>
    <w:rsid w:val="00725927"/>
    <w:rsid w:val="00735292"/>
    <w:rsid w:val="007377BA"/>
    <w:rsid w:val="00737FD6"/>
    <w:rsid w:val="00742849"/>
    <w:rsid w:val="0074695F"/>
    <w:rsid w:val="00754053"/>
    <w:rsid w:val="0075421A"/>
    <w:rsid w:val="0075442D"/>
    <w:rsid w:val="0075472D"/>
    <w:rsid w:val="007635D1"/>
    <w:rsid w:val="007644BC"/>
    <w:rsid w:val="00770C8F"/>
    <w:rsid w:val="00773971"/>
    <w:rsid w:val="00780E69"/>
    <w:rsid w:val="0078141A"/>
    <w:rsid w:val="007831BD"/>
    <w:rsid w:val="0078597F"/>
    <w:rsid w:val="00787175"/>
    <w:rsid w:val="007926BC"/>
    <w:rsid w:val="00792BF7"/>
    <w:rsid w:val="00792F90"/>
    <w:rsid w:val="00794857"/>
    <w:rsid w:val="007A04E2"/>
    <w:rsid w:val="007A06E9"/>
    <w:rsid w:val="007A126A"/>
    <w:rsid w:val="007A1448"/>
    <w:rsid w:val="007A2AD1"/>
    <w:rsid w:val="007B4395"/>
    <w:rsid w:val="007B4D9F"/>
    <w:rsid w:val="007C1FDB"/>
    <w:rsid w:val="007C287F"/>
    <w:rsid w:val="007C5B07"/>
    <w:rsid w:val="007C5DB1"/>
    <w:rsid w:val="007C7DC9"/>
    <w:rsid w:val="007D05D2"/>
    <w:rsid w:val="007D3AE2"/>
    <w:rsid w:val="007D5B8A"/>
    <w:rsid w:val="007D6643"/>
    <w:rsid w:val="007D6C6B"/>
    <w:rsid w:val="007E1262"/>
    <w:rsid w:val="007E6D04"/>
    <w:rsid w:val="007E7C23"/>
    <w:rsid w:val="007E7CC9"/>
    <w:rsid w:val="007F0048"/>
    <w:rsid w:val="007F19EC"/>
    <w:rsid w:val="007F4C22"/>
    <w:rsid w:val="007F4CDA"/>
    <w:rsid w:val="00800595"/>
    <w:rsid w:val="0080059B"/>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7B25"/>
    <w:rsid w:val="0084110B"/>
    <w:rsid w:val="00846603"/>
    <w:rsid w:val="008479C0"/>
    <w:rsid w:val="008543A8"/>
    <w:rsid w:val="008548CB"/>
    <w:rsid w:val="00856887"/>
    <w:rsid w:val="00856CFD"/>
    <w:rsid w:val="0085752D"/>
    <w:rsid w:val="00863441"/>
    <w:rsid w:val="008676A6"/>
    <w:rsid w:val="008748F2"/>
    <w:rsid w:val="0088380B"/>
    <w:rsid w:val="00883AD3"/>
    <w:rsid w:val="00883EDC"/>
    <w:rsid w:val="00886FD6"/>
    <w:rsid w:val="008956F5"/>
    <w:rsid w:val="00895961"/>
    <w:rsid w:val="008A24EB"/>
    <w:rsid w:val="008A5671"/>
    <w:rsid w:val="008B30AB"/>
    <w:rsid w:val="008B77E8"/>
    <w:rsid w:val="008C0704"/>
    <w:rsid w:val="008C121C"/>
    <w:rsid w:val="008C3DAE"/>
    <w:rsid w:val="008C5730"/>
    <w:rsid w:val="008C5B41"/>
    <w:rsid w:val="008C5DCD"/>
    <w:rsid w:val="008D18BD"/>
    <w:rsid w:val="008D5E28"/>
    <w:rsid w:val="008D7606"/>
    <w:rsid w:val="008E42BC"/>
    <w:rsid w:val="008E511A"/>
    <w:rsid w:val="008F09E1"/>
    <w:rsid w:val="008F1B48"/>
    <w:rsid w:val="008F24EA"/>
    <w:rsid w:val="008F30A1"/>
    <w:rsid w:val="008F3BF1"/>
    <w:rsid w:val="008F6FF7"/>
    <w:rsid w:val="00907A4B"/>
    <w:rsid w:val="00911B80"/>
    <w:rsid w:val="00913748"/>
    <w:rsid w:val="0091388B"/>
    <w:rsid w:val="009153B6"/>
    <w:rsid w:val="0091559C"/>
    <w:rsid w:val="00915F6F"/>
    <w:rsid w:val="00924597"/>
    <w:rsid w:val="00926A06"/>
    <w:rsid w:val="00934183"/>
    <w:rsid w:val="00936F82"/>
    <w:rsid w:val="009415A1"/>
    <w:rsid w:val="0094341B"/>
    <w:rsid w:val="0094394E"/>
    <w:rsid w:val="00943A04"/>
    <w:rsid w:val="0095271C"/>
    <w:rsid w:val="00952F5D"/>
    <w:rsid w:val="00953D3A"/>
    <w:rsid w:val="009702A0"/>
    <w:rsid w:val="00970400"/>
    <w:rsid w:val="00970EA1"/>
    <w:rsid w:val="00973131"/>
    <w:rsid w:val="00973CBB"/>
    <w:rsid w:val="00974477"/>
    <w:rsid w:val="0097481D"/>
    <w:rsid w:val="00976054"/>
    <w:rsid w:val="009770F5"/>
    <w:rsid w:val="00980479"/>
    <w:rsid w:val="009826DD"/>
    <w:rsid w:val="00985C7C"/>
    <w:rsid w:val="009876F3"/>
    <w:rsid w:val="00991A23"/>
    <w:rsid w:val="0099241D"/>
    <w:rsid w:val="0099386B"/>
    <w:rsid w:val="00996AFB"/>
    <w:rsid w:val="00997A82"/>
    <w:rsid w:val="009A3FEB"/>
    <w:rsid w:val="009B0179"/>
    <w:rsid w:val="009B195D"/>
    <w:rsid w:val="009B444E"/>
    <w:rsid w:val="009B4905"/>
    <w:rsid w:val="009B4E98"/>
    <w:rsid w:val="009B6239"/>
    <w:rsid w:val="009B6FA5"/>
    <w:rsid w:val="009B7A66"/>
    <w:rsid w:val="009C3EC8"/>
    <w:rsid w:val="009D0ECD"/>
    <w:rsid w:val="009E09C1"/>
    <w:rsid w:val="009E3F3B"/>
    <w:rsid w:val="009E4A1E"/>
    <w:rsid w:val="009F0A26"/>
    <w:rsid w:val="009F1A8D"/>
    <w:rsid w:val="00A02922"/>
    <w:rsid w:val="00A02C46"/>
    <w:rsid w:val="00A03890"/>
    <w:rsid w:val="00A05CFA"/>
    <w:rsid w:val="00A10054"/>
    <w:rsid w:val="00A125D4"/>
    <w:rsid w:val="00A14981"/>
    <w:rsid w:val="00A154A4"/>
    <w:rsid w:val="00A20FBD"/>
    <w:rsid w:val="00A2119C"/>
    <w:rsid w:val="00A213AA"/>
    <w:rsid w:val="00A2599A"/>
    <w:rsid w:val="00A25B14"/>
    <w:rsid w:val="00A27EB3"/>
    <w:rsid w:val="00A30EAB"/>
    <w:rsid w:val="00A31113"/>
    <w:rsid w:val="00A37A42"/>
    <w:rsid w:val="00A420AE"/>
    <w:rsid w:val="00A45923"/>
    <w:rsid w:val="00A45CE9"/>
    <w:rsid w:val="00A5060A"/>
    <w:rsid w:val="00A50DD9"/>
    <w:rsid w:val="00A51727"/>
    <w:rsid w:val="00A548D5"/>
    <w:rsid w:val="00A57F54"/>
    <w:rsid w:val="00A6013E"/>
    <w:rsid w:val="00A61604"/>
    <w:rsid w:val="00A64257"/>
    <w:rsid w:val="00A647B5"/>
    <w:rsid w:val="00A64DF1"/>
    <w:rsid w:val="00A67873"/>
    <w:rsid w:val="00A71E0D"/>
    <w:rsid w:val="00A749D3"/>
    <w:rsid w:val="00A77574"/>
    <w:rsid w:val="00A80532"/>
    <w:rsid w:val="00A813B9"/>
    <w:rsid w:val="00A83393"/>
    <w:rsid w:val="00A94329"/>
    <w:rsid w:val="00A9433C"/>
    <w:rsid w:val="00A946E8"/>
    <w:rsid w:val="00A96B33"/>
    <w:rsid w:val="00AA0666"/>
    <w:rsid w:val="00AA16A5"/>
    <w:rsid w:val="00AA18EC"/>
    <w:rsid w:val="00AA200A"/>
    <w:rsid w:val="00AA2DC6"/>
    <w:rsid w:val="00AA37F1"/>
    <w:rsid w:val="00AA3E4C"/>
    <w:rsid w:val="00AA4332"/>
    <w:rsid w:val="00AB0D6C"/>
    <w:rsid w:val="00AB40E4"/>
    <w:rsid w:val="00AB55E4"/>
    <w:rsid w:val="00AC0990"/>
    <w:rsid w:val="00AC58F7"/>
    <w:rsid w:val="00AC6A2F"/>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6C63"/>
    <w:rsid w:val="00B14186"/>
    <w:rsid w:val="00B1633A"/>
    <w:rsid w:val="00B203D2"/>
    <w:rsid w:val="00B279AE"/>
    <w:rsid w:val="00B305D8"/>
    <w:rsid w:val="00B32B90"/>
    <w:rsid w:val="00B41636"/>
    <w:rsid w:val="00B43C31"/>
    <w:rsid w:val="00B44178"/>
    <w:rsid w:val="00B538F2"/>
    <w:rsid w:val="00B552E6"/>
    <w:rsid w:val="00B553BE"/>
    <w:rsid w:val="00B57AD9"/>
    <w:rsid w:val="00B61263"/>
    <w:rsid w:val="00B64921"/>
    <w:rsid w:val="00B7120E"/>
    <w:rsid w:val="00B7273F"/>
    <w:rsid w:val="00B72888"/>
    <w:rsid w:val="00B76F86"/>
    <w:rsid w:val="00B80DF7"/>
    <w:rsid w:val="00B810C3"/>
    <w:rsid w:val="00B840EC"/>
    <w:rsid w:val="00B87905"/>
    <w:rsid w:val="00B922C4"/>
    <w:rsid w:val="00B92435"/>
    <w:rsid w:val="00B92F5B"/>
    <w:rsid w:val="00B95A01"/>
    <w:rsid w:val="00BA19CD"/>
    <w:rsid w:val="00BA4095"/>
    <w:rsid w:val="00BA67DE"/>
    <w:rsid w:val="00BA71A7"/>
    <w:rsid w:val="00BC2E5A"/>
    <w:rsid w:val="00BC2FFD"/>
    <w:rsid w:val="00BD365D"/>
    <w:rsid w:val="00BD4B6E"/>
    <w:rsid w:val="00BD6525"/>
    <w:rsid w:val="00BD7069"/>
    <w:rsid w:val="00BE0CD4"/>
    <w:rsid w:val="00BE0E22"/>
    <w:rsid w:val="00BE461D"/>
    <w:rsid w:val="00BE6395"/>
    <w:rsid w:val="00BE6C68"/>
    <w:rsid w:val="00BE7B97"/>
    <w:rsid w:val="00BF09D0"/>
    <w:rsid w:val="00BF16A9"/>
    <w:rsid w:val="00BF3CD8"/>
    <w:rsid w:val="00BF6E31"/>
    <w:rsid w:val="00BF711A"/>
    <w:rsid w:val="00BF7123"/>
    <w:rsid w:val="00BF77DF"/>
    <w:rsid w:val="00C005D8"/>
    <w:rsid w:val="00C06E05"/>
    <w:rsid w:val="00C10DAE"/>
    <w:rsid w:val="00C140F4"/>
    <w:rsid w:val="00C1466B"/>
    <w:rsid w:val="00C22683"/>
    <w:rsid w:val="00C22834"/>
    <w:rsid w:val="00C23133"/>
    <w:rsid w:val="00C25572"/>
    <w:rsid w:val="00C25DE0"/>
    <w:rsid w:val="00C2654A"/>
    <w:rsid w:val="00C317E2"/>
    <w:rsid w:val="00C34902"/>
    <w:rsid w:val="00C37FC1"/>
    <w:rsid w:val="00C44CE3"/>
    <w:rsid w:val="00C4618A"/>
    <w:rsid w:val="00C46A10"/>
    <w:rsid w:val="00C62850"/>
    <w:rsid w:val="00C64E9F"/>
    <w:rsid w:val="00C6768D"/>
    <w:rsid w:val="00C7251C"/>
    <w:rsid w:val="00C73DAF"/>
    <w:rsid w:val="00C76555"/>
    <w:rsid w:val="00C82252"/>
    <w:rsid w:val="00C82649"/>
    <w:rsid w:val="00C860E9"/>
    <w:rsid w:val="00C907E8"/>
    <w:rsid w:val="00C91BD8"/>
    <w:rsid w:val="00C91C8B"/>
    <w:rsid w:val="00C9295A"/>
    <w:rsid w:val="00C93428"/>
    <w:rsid w:val="00C93CEB"/>
    <w:rsid w:val="00C94C8A"/>
    <w:rsid w:val="00C95CF9"/>
    <w:rsid w:val="00C97259"/>
    <w:rsid w:val="00CA1F32"/>
    <w:rsid w:val="00CA5EA5"/>
    <w:rsid w:val="00CA700F"/>
    <w:rsid w:val="00CA71DA"/>
    <w:rsid w:val="00CB00F2"/>
    <w:rsid w:val="00CB13D1"/>
    <w:rsid w:val="00CB1DA3"/>
    <w:rsid w:val="00CB3552"/>
    <w:rsid w:val="00CB44C0"/>
    <w:rsid w:val="00CB4878"/>
    <w:rsid w:val="00CB4D8A"/>
    <w:rsid w:val="00CB78B4"/>
    <w:rsid w:val="00CC5763"/>
    <w:rsid w:val="00CC658D"/>
    <w:rsid w:val="00CC6F35"/>
    <w:rsid w:val="00CD00E5"/>
    <w:rsid w:val="00CD1FE9"/>
    <w:rsid w:val="00CD207C"/>
    <w:rsid w:val="00CD7B61"/>
    <w:rsid w:val="00CE0853"/>
    <w:rsid w:val="00CE50C2"/>
    <w:rsid w:val="00CF283C"/>
    <w:rsid w:val="00CF336A"/>
    <w:rsid w:val="00CF4FD7"/>
    <w:rsid w:val="00CF5E24"/>
    <w:rsid w:val="00CF67B4"/>
    <w:rsid w:val="00D03A5D"/>
    <w:rsid w:val="00D10926"/>
    <w:rsid w:val="00D12905"/>
    <w:rsid w:val="00D16880"/>
    <w:rsid w:val="00D207D0"/>
    <w:rsid w:val="00D263F9"/>
    <w:rsid w:val="00D31FDB"/>
    <w:rsid w:val="00D32463"/>
    <w:rsid w:val="00D32482"/>
    <w:rsid w:val="00D3599F"/>
    <w:rsid w:val="00D37ACC"/>
    <w:rsid w:val="00D42627"/>
    <w:rsid w:val="00D508F4"/>
    <w:rsid w:val="00D50D79"/>
    <w:rsid w:val="00D62CAD"/>
    <w:rsid w:val="00D6554B"/>
    <w:rsid w:val="00D66415"/>
    <w:rsid w:val="00D726AB"/>
    <w:rsid w:val="00D748AD"/>
    <w:rsid w:val="00D76682"/>
    <w:rsid w:val="00D77616"/>
    <w:rsid w:val="00D84D1E"/>
    <w:rsid w:val="00D87AC1"/>
    <w:rsid w:val="00DA2E53"/>
    <w:rsid w:val="00DA38F2"/>
    <w:rsid w:val="00DA746D"/>
    <w:rsid w:val="00DB1926"/>
    <w:rsid w:val="00DB294F"/>
    <w:rsid w:val="00DB3A43"/>
    <w:rsid w:val="00DB4005"/>
    <w:rsid w:val="00DB5E2D"/>
    <w:rsid w:val="00DC0A97"/>
    <w:rsid w:val="00DC31D6"/>
    <w:rsid w:val="00DC7588"/>
    <w:rsid w:val="00DC785A"/>
    <w:rsid w:val="00DD046E"/>
    <w:rsid w:val="00DD6E31"/>
    <w:rsid w:val="00DD72E4"/>
    <w:rsid w:val="00DE01E7"/>
    <w:rsid w:val="00DE1633"/>
    <w:rsid w:val="00DE2E06"/>
    <w:rsid w:val="00DE52BE"/>
    <w:rsid w:val="00DE6107"/>
    <w:rsid w:val="00DF1EE1"/>
    <w:rsid w:val="00DF1F20"/>
    <w:rsid w:val="00DF20F5"/>
    <w:rsid w:val="00DF4003"/>
    <w:rsid w:val="00DF416E"/>
    <w:rsid w:val="00E0109F"/>
    <w:rsid w:val="00E01138"/>
    <w:rsid w:val="00E01873"/>
    <w:rsid w:val="00E1069A"/>
    <w:rsid w:val="00E11FE0"/>
    <w:rsid w:val="00E136C7"/>
    <w:rsid w:val="00E151C6"/>
    <w:rsid w:val="00E16CB2"/>
    <w:rsid w:val="00E22666"/>
    <w:rsid w:val="00E24288"/>
    <w:rsid w:val="00E27D11"/>
    <w:rsid w:val="00E30A2D"/>
    <w:rsid w:val="00E43421"/>
    <w:rsid w:val="00E437E5"/>
    <w:rsid w:val="00E4565F"/>
    <w:rsid w:val="00E56F95"/>
    <w:rsid w:val="00E60C36"/>
    <w:rsid w:val="00E61721"/>
    <w:rsid w:val="00E61BB7"/>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1F4C"/>
    <w:rsid w:val="00EB2298"/>
    <w:rsid w:val="00EB248C"/>
    <w:rsid w:val="00EB61F6"/>
    <w:rsid w:val="00EC00CF"/>
    <w:rsid w:val="00EC4DDC"/>
    <w:rsid w:val="00EE659F"/>
    <w:rsid w:val="00EF0171"/>
    <w:rsid w:val="00EF09E0"/>
    <w:rsid w:val="00EF6A7F"/>
    <w:rsid w:val="00F02A57"/>
    <w:rsid w:val="00F02BC3"/>
    <w:rsid w:val="00F06063"/>
    <w:rsid w:val="00F074B1"/>
    <w:rsid w:val="00F1315A"/>
    <w:rsid w:val="00F13E62"/>
    <w:rsid w:val="00F141C0"/>
    <w:rsid w:val="00F14FA7"/>
    <w:rsid w:val="00F16D76"/>
    <w:rsid w:val="00F22910"/>
    <w:rsid w:val="00F23145"/>
    <w:rsid w:val="00F24912"/>
    <w:rsid w:val="00F265BA"/>
    <w:rsid w:val="00F34643"/>
    <w:rsid w:val="00F34FB1"/>
    <w:rsid w:val="00F44107"/>
    <w:rsid w:val="00F44969"/>
    <w:rsid w:val="00F44C14"/>
    <w:rsid w:val="00F53868"/>
    <w:rsid w:val="00F6305E"/>
    <w:rsid w:val="00F63EC4"/>
    <w:rsid w:val="00F7236D"/>
    <w:rsid w:val="00F73016"/>
    <w:rsid w:val="00F75ABC"/>
    <w:rsid w:val="00F75EB2"/>
    <w:rsid w:val="00F80F68"/>
    <w:rsid w:val="00F821C9"/>
    <w:rsid w:val="00F8302E"/>
    <w:rsid w:val="00F83E3E"/>
    <w:rsid w:val="00F85CC0"/>
    <w:rsid w:val="00F930DE"/>
    <w:rsid w:val="00F97C2C"/>
    <w:rsid w:val="00FA306E"/>
    <w:rsid w:val="00FA4CB4"/>
    <w:rsid w:val="00FA6AA0"/>
    <w:rsid w:val="00FA757B"/>
    <w:rsid w:val="00FB1E5E"/>
    <w:rsid w:val="00FB3DAE"/>
    <w:rsid w:val="00FB3F72"/>
    <w:rsid w:val="00FB6A47"/>
    <w:rsid w:val="00FC30A2"/>
    <w:rsid w:val="00FC51B6"/>
    <w:rsid w:val="00FC5666"/>
    <w:rsid w:val="00FD3A8D"/>
    <w:rsid w:val="00FD6A5F"/>
    <w:rsid w:val="00FD794D"/>
    <w:rsid w:val="00FE03C9"/>
    <w:rsid w:val="00FE07B4"/>
    <w:rsid w:val="00FE1637"/>
    <w:rsid w:val="00FE3C21"/>
    <w:rsid w:val="00FE7EA2"/>
    <w:rsid w:val="00FF0313"/>
    <w:rsid w:val="00FF2445"/>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441C"/>
  <w15:chartTrackingRefBased/>
  <w15:docId w15:val="{1AB4382D-6B0D-4154-BA76-FF59DCB2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39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A833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3393"/>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0CD4"/>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00583595">
      <w:bodyDiv w:val="1"/>
      <w:marLeft w:val="0"/>
      <w:marRight w:val="0"/>
      <w:marTop w:val="0"/>
      <w:marBottom w:val="0"/>
      <w:divBdr>
        <w:top w:val="none" w:sz="0" w:space="0" w:color="auto"/>
        <w:left w:val="none" w:sz="0" w:space="0" w:color="auto"/>
        <w:bottom w:val="none" w:sz="0" w:space="0" w:color="auto"/>
        <w:right w:val="none" w:sz="0" w:space="0" w:color="auto"/>
      </w:divBdr>
    </w:div>
    <w:div w:id="667174738">
      <w:bodyDiv w:val="1"/>
      <w:marLeft w:val="0"/>
      <w:marRight w:val="0"/>
      <w:marTop w:val="0"/>
      <w:marBottom w:val="0"/>
      <w:divBdr>
        <w:top w:val="none" w:sz="0" w:space="0" w:color="auto"/>
        <w:left w:val="none" w:sz="0" w:space="0" w:color="auto"/>
        <w:bottom w:val="none" w:sz="0" w:space="0" w:color="auto"/>
        <w:right w:val="none" w:sz="0" w:space="0" w:color="auto"/>
      </w:divBdr>
    </w:div>
    <w:div w:id="999162416">
      <w:bodyDiv w:val="1"/>
      <w:marLeft w:val="0"/>
      <w:marRight w:val="0"/>
      <w:marTop w:val="0"/>
      <w:marBottom w:val="0"/>
      <w:divBdr>
        <w:top w:val="none" w:sz="0" w:space="0" w:color="auto"/>
        <w:left w:val="none" w:sz="0" w:space="0" w:color="auto"/>
        <w:bottom w:val="none" w:sz="0" w:space="0" w:color="auto"/>
        <w:right w:val="none" w:sz="0" w:space="0" w:color="auto"/>
      </w:divBdr>
    </w:div>
    <w:div w:id="1114640467">
      <w:bodyDiv w:val="1"/>
      <w:marLeft w:val="0"/>
      <w:marRight w:val="0"/>
      <w:marTop w:val="0"/>
      <w:marBottom w:val="0"/>
      <w:divBdr>
        <w:top w:val="none" w:sz="0" w:space="0" w:color="auto"/>
        <w:left w:val="none" w:sz="0" w:space="0" w:color="auto"/>
        <w:bottom w:val="none" w:sz="0" w:space="0" w:color="auto"/>
        <w:right w:val="none" w:sz="0" w:space="0" w:color="auto"/>
      </w:divBdr>
    </w:div>
    <w:div w:id="1234240628">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13610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s://www.nice.org.uk/guidance/mpg2/chapter/Recommendations___.bXQtcHJvZC1jcC1ldXcyLTE6dW5pdmVyc2l0eWhvc3BpdGFsc291dGhhbXB0b246YzpvOmUxNGJkOTliZDY0ODhkNDkxMDM3MjdjODlmODU1NWU5OjY6Y2Y4NjoyMDhlMGU1MTU0ZGZmZWFhMjNlN2I3YWJjNzJkNmY2ZDc4Y2FmNWU2YTFjY2Q2YmU5NjFjYTg1NzJkZGIzNzNiOnA6VDpO" TargetMode="External"/><Relationship Id="rId13" Type="http://schemas.openxmlformats.org/officeDocument/2006/relationships/hyperlink" Target="https://www.medicines.org.uk/emc" TargetMode="External"/><Relationship Id="rId18" Type="http://schemas.openxmlformats.org/officeDocument/2006/relationships/hyperlink" Target="https://protect.checkpoint.com/v2/___http://www.bnf.org___.bXQtcHJvZC1jcC1ldXcyLTE6dW5pdmVyc2l0eWhvc3BpdGFsc291dGhhbXB0b246YzpvOmUxNGJkOTliZDY0ODhkNDkxMDM3MjdjODlmODU1NWU5OjY6YmNlZDo3MmM3NTU1NTJjOTlhOTBhZjc5MjRhZTkwNmIzZjY1NTllMDM2YmE0NGJkNmJjZjY3OWY4MmEzOGYwOTE4YWZhOnA6VDpO" TargetMode="External"/><Relationship Id="rId26" Type="http://schemas.openxmlformats.org/officeDocument/2006/relationships/hyperlink" Target="https://www.bhiva.org/pregnancy-guidelines" TargetMode="External"/><Relationship Id="rId3" Type="http://schemas.openxmlformats.org/officeDocument/2006/relationships/styles" Target="styles.xml"/><Relationship Id="rId21" Type="http://schemas.openxmlformats.org/officeDocument/2006/relationships/hyperlink" Target="https://protect.checkpoint.com/v2/___https://bnf.nice.org.uk/___.bXQtcHJvZC1jcC1ldXcyLTE6dW5pdmVyc2l0eWhvc3BpdGFsc291dGhhbXB0b246YzpvOmUxNGJkOTliZDY0ODhkNDkxMDM3MjdjODlmODU1NWU5OjY6OTdhMzo5MmI2ZWJjMjgyOTA4OTlmNjVhZDk5NWEzYTQyM2VhYjY5ZjFiZDgwYTJhYzFjYTliMmFhZjBkOWI2NzM4MDM4OnA6VDpO" TargetMode="External"/><Relationship Id="rId7" Type="http://schemas.openxmlformats.org/officeDocument/2006/relationships/endnotes" Target="endnotes.xml"/><Relationship Id="rId12" Type="http://schemas.openxmlformats.org/officeDocument/2006/relationships/hyperlink" Target="https://protect.checkpoint.com/v2/___https://www.nice.org.uk/guidance/mpg2/resources___.bXQtcHJvZC1jcC1ldXcyLTE6dW5pdmVyc2l0eWhvc3BpdGFsc291dGhhbXB0b246YzpvOmUxNGJkOTliZDY0ODhkNDkxMDM3MjdjODlmODU1NWU5OjY6ODc3MjpiZTcwZDgzOGIxZTg5M2RjOGUzY2NjMGZkMDA4NjRmNDAxNDUzNzQ0ZDFkOTllODgxNjQ1OGNhNzNlMDQ3NjFjOnA6VDpO" TargetMode="External"/><Relationship Id="rId17" Type="http://schemas.openxmlformats.org/officeDocument/2006/relationships/hyperlink" Target="https://protect.checkpoint.com/v2/___http://www.medicines.org.uk___.bXQtcHJvZC1jcC1ldXcyLTE6dW5pdmVyc2l0eWhvc3BpdGFsc291dGhhbXB0b246YzpvOmUxNGJkOTliZDY0ODhkNDkxMDM3MjdjODlmODU1NWU5OjY6NjNjYzoyODRmZDMxNTUzYTM1OTM0NzgwY2NlZjRlYWExY2M2NWFhNTU4NDQ1M2QyYjNkODZjMTU2NzBlMTMxMmVkODNlOnA6VDpO" TargetMode="External"/><Relationship Id="rId25" Type="http://schemas.openxmlformats.org/officeDocument/2006/relationships/hyperlink" Target="https://protect.checkpoint.com/v2/___https://www.nice.org.uk/guidance/ng3___.bXQtcHJvZC1jcC1ldXcyLTE6dW5pdmVyc2l0eWhvc3BpdGFsc291dGhhbXB0b246YzpvOmUxNGJkOTliZDY0ODhkNDkxMDM3MjdjODlmODU1NWU5OjY6YzliYTozNDg3NDk2MmM0NzMwOWMwMjVlMzJlZWZhNmFlMGNkNGUzNWE1NTNhYzRlMzQxYzdmODE1ZjExYjNiNmM3NzZkOnA6VDpO" TargetMode="External"/><Relationship Id="rId2" Type="http://schemas.openxmlformats.org/officeDocument/2006/relationships/numbering" Target="numbering.xml"/><Relationship Id="rId16" Type="http://schemas.openxmlformats.org/officeDocument/2006/relationships/hyperlink" Target="https://protect.checkpoint.com/v2/___http://www.bnf.org___.bXQtcHJvZC1jcC1ldXcyLTE6dW5pdmVyc2l0eWhvc3BpdGFsc291dGhhbXB0b246YzpvOmUxNGJkOTliZDY0ODhkNDkxMDM3MjdjODlmODU1NWU5OjY6YmNlZDo3MmM3NTU1NTJjOTlhOTBhZjc5MjRhZTkwNmIzZjY1NTllMDM2YmE0NGJkNmJjZjY3OWY4MmEzOGYwOTE4YWZhOnA6VDpO" TargetMode="External"/><Relationship Id="rId20" Type="http://schemas.openxmlformats.org/officeDocument/2006/relationships/hyperlink" Target="https://protect.checkpoint.com/v2/___http://www.medicines.org.uk/___.bXQtcHJvZC1jcC1ldXcyLTE6dW5pdmVyc2l0eWhvc3BpdGFsc291dGhhbXB0b246YzpvOmUxNGJkOTliZDY0ODhkNDkxMDM3MjdjODlmODU1NWU5OjY6MmIzOTphYzczMmE4NjFkMTFjYTY2NDc0OTdkODMxMGRhYjYxOGQxNjJiMmMzYWQ5MjYwY2FkZDdiZWVhYjFjNjY5NWFlOnA6VDp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s://www.gov.uk/government/publications/patient-group-directions-pgds/patient-group-directions-who-can-use-them___.bXQtcHJvZC1jcC1ldXcyLTE6dW5pdmVyc2l0eWhvc3BpdGFsc291dGhhbXB0b246YzpvOmUxNGJkOTliZDY0ODhkNDkxMDM3MjdjODlmODU1NWU5OjY6ZTg0ODpkMTczNDBhMGEzMDFlZjQwZGZlMjhlYzFjODcxYTAzZTJjYTI3MGM4ODAxNzFlMmEyOWFmYWY0MTJhMTc2ODljOnA6VDpO" TargetMode="External"/><Relationship Id="rId24" Type="http://schemas.openxmlformats.org/officeDocument/2006/relationships/hyperlink" Target="https://protect.checkpoint.com/v2/___https://cks.nice.org.uk/pre-conception-advice-and-management___.bXQtcHJvZC1jcC1ldXcyLTE6dW5pdmVyc2l0eWhvc3BpdGFsc291dGhhbXB0b246YzpvOmUxNGJkOTliZDY0ODhkNDkxMDM3MjdjODlmODU1NWU5OjY6YjRlYzplYzc3ZDA0YmQwNjEzMDJhMWM4MTM3YWRjZDE0MWZkYzQ4MmI5ZDZhMmM3N2RhMDlhNWExNmE2ZDVjMGNjMmVmOnA6VDpO" TargetMode="External"/><Relationship Id="rId5" Type="http://schemas.openxmlformats.org/officeDocument/2006/relationships/webSettings" Target="webSettings.xml"/><Relationship Id="rId15" Type="http://schemas.openxmlformats.org/officeDocument/2006/relationships/hyperlink" Target="https://protect.checkpoint.com/v2/___http://www.medicines.org.uk___.bXQtcHJvZC1jcC1ldXcyLTE6dW5pdmVyc2l0eWhvc3BpdGFsc291dGhhbXB0b246YzpvOmUxNGJkOTliZDY0ODhkNDkxMDM3MjdjODlmODU1NWU5OjY6NjNjYzoyODRmZDMxNTUzYTM1OTM0NzgwY2NlZjRlYWExY2M2NWFhNTU4NDQ1M2QyYjNkODZjMTU2NzBlMTMxMmVkODNlOnA6VDpO" TargetMode="External"/><Relationship Id="rId23" Type="http://schemas.openxmlformats.org/officeDocument/2006/relationships/hyperlink" Target="https://protect.checkpoint.com/v2/___https://www.rcog.org.uk/globalassets/documents/guidelines/cmacercogjointguidelinemanagementwomenobesitypregnancya.pdf___.bXQtcHJvZC1jcC1ldXcyLTE6dW5pdmVyc2l0eWhvc3BpdGFsc291dGhhbXB0b246YzpvOmUxNGJkOTliZDY0ODhkNDkxMDM3MjdjODlmODU1NWU5OjY6NDM2MTplNWQ1MDUxOTc4ZDk4NDM4OTU3MWVkNGJlZjI2YTQ3MDg0NDM0YzY1NTFiODI4ZmY4OWE4MmEyMjcxZmUzYTgzOnA6VDpO" TargetMode="External"/><Relationship Id="rId28" Type="http://schemas.openxmlformats.org/officeDocument/2006/relationships/footer" Target="footer1.xml"/><Relationship Id="rId10" Type="http://schemas.openxmlformats.org/officeDocument/2006/relationships/hyperlink" Target="https://protect.checkpoint.com/v2/___http://publications.nice.org.uk/patient-group-directions-gpg2/appendix-a-glossary___.bXQtcHJvZC1jcC1ldXcyLTE6dW5pdmVyc2l0eWhvc3BpdGFsc291dGhhbXB0b246YzpvOmUxNGJkOTliZDY0ODhkNDkxMDM3MjdjODlmODU1NWU5OjY6ODIwMjpmMGVjYzEzYmY0NjBmNjIwN2FlZmFlN2ZhYjVhYmNkYWViM2ZjZmZmNjI1MzcwNGY2MDBjMWNlZWRiM2IzYWY4OnA6VDpO" TargetMode="External"/><Relationship Id="rId19" Type="http://schemas.openxmlformats.org/officeDocument/2006/relationships/hyperlink" Target="https://protect.checkpoint.com/v2/___http://yellowcard.mhra.gov.uk___.bXQtcHJvZC1jcC1ldXcyLTE6dW5pdmVyc2l0eWhvc3BpdGFsc291dGhhbXB0b246YzpvOmUxNGJkOTliZDY0ODhkNDkxMDM3MjdjODlmODU1NWU5OjY6YTg2MDpmNjc5ZmFhZTMzNTVmZjJlMmRiMDVhZDNkNTk0NjI1YTY4MGRjNjY0MTgzNWUxOWZhMTUwNmZmNWI1OTNmYTFjOnA6VDpO" TargetMode="External"/><Relationship Id="rId4" Type="http://schemas.openxmlformats.org/officeDocument/2006/relationships/settings" Target="settings.xml"/><Relationship Id="rId9" Type="http://schemas.openxmlformats.org/officeDocument/2006/relationships/hyperlink" Target="https://protect.checkpoint.com/v2/___https://www.nice.org.uk/Guidance/MPG2___.bXQtcHJvZC1jcC1ldXcyLTE6dW5pdmVyc2l0eWhvc3BpdGFsc291dGhhbXB0b246YzpvOmUxNGJkOTliZDY0ODhkNDkxMDM3MjdjODlmODU1NWU5OjY6NmE4MjoyM2FmODk3NGVhNGZmNjZmYmU2ZGZkMjVmMWY0Y2ZjNTIxZjMwNmQ3YjY0ZmQ4NzRmMzgzZjVkZDQ4NjE5ZmNhOnA6VDpO" TargetMode="External"/><Relationship Id="rId14" Type="http://schemas.openxmlformats.org/officeDocument/2006/relationships/hyperlink" Target="https://protect.checkpoint.com/v2/___http://www.bnf.org___.bXQtcHJvZC1jcC1ldXcyLTE6dW5pdmVyc2l0eWhvc3BpdGFsc291dGhhbXB0b246YzpvOmUxNGJkOTliZDY0ODhkNDkxMDM3MjdjODlmODU1NWU5OjY6YmNlZDo3MmM3NTU1NTJjOTlhOTBhZjc5MjRhZTkwNmIzZjY1NTllMDM2YmE0NGJkNmJjZjY3OWY4MmEzOGYwOTE4YWZhOnA6VDpO" TargetMode="External"/><Relationship Id="rId22" Type="http://schemas.openxmlformats.org/officeDocument/2006/relationships/hyperlink" Target="https://protect.checkpoint.com/v2/___https://www.nice.org.uk/guidance/mpg2___.bXQtcHJvZC1jcC1ldXcyLTE6dW5pdmVyc2l0eWhvc3BpdGFsc291dGhhbXB0b246YzpvOmUxNGJkOTliZDY0ODhkNDkxMDM3MjdjODlmODU1NWU5OjY6YzY2ZDpjMzg0ZTQ4ODBjN2M0NTY4YWUwYmJhNGQ5NTM5NzNlZjdhMmE4ODJkMmNlNTQ3NzMxYzc4ZWY2ZGQ0OWQ4MTQyOnA6VDp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89F4F-F369-4AAC-9B68-64C83887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23891</CharactersWithSpaces>
  <SharedDoc>false</SharedDoc>
  <HLinks>
    <vt:vector size="108" baseType="variant">
      <vt:variant>
        <vt:i4>1245277</vt:i4>
      </vt:variant>
      <vt:variant>
        <vt:i4>51</vt:i4>
      </vt:variant>
      <vt:variant>
        <vt:i4>0</vt:i4>
      </vt:variant>
      <vt:variant>
        <vt:i4>5</vt:i4>
      </vt:variant>
      <vt:variant>
        <vt:lpwstr>https://protect.checkpoint.com/v2/___https://www.nice.org.uk/guidance/ng3___.bXQtcHJvZC1jcC1ldXcyLTE6dW5pdmVyc2l0eWhvc3BpdGFsc291dGhhbXB0b246YzpvOmUxNGJkOTliZDY0ODhkNDkxMDM3MjdjODlmODU1NWU5OjY6YzliYTozNDg3NDk2MmM0NzMwOWMwMjVlMzJlZWZhNmFlMGNkNGUzNWE1NTNhYzRlMzQxYzdmODE1ZjExYjNiNmM3NzZkOnA6VDpO</vt:lpwstr>
      </vt:variant>
      <vt:variant>
        <vt:lpwstr/>
      </vt:variant>
      <vt:variant>
        <vt:i4>7471141</vt:i4>
      </vt:variant>
      <vt:variant>
        <vt:i4>48</vt:i4>
      </vt:variant>
      <vt:variant>
        <vt:i4>0</vt:i4>
      </vt:variant>
      <vt:variant>
        <vt:i4>5</vt:i4>
      </vt:variant>
      <vt:variant>
        <vt:lpwstr>https://protect.checkpoint.com/v2/___https://cks.nice.org.uk/pre-conception-advice-and-management___.bXQtcHJvZC1jcC1ldXcyLTE6dW5pdmVyc2l0eWhvc3BpdGFsc291dGhhbXB0b246YzpvOmUxNGJkOTliZDY0ODhkNDkxMDM3MjdjODlmODU1NWU5OjY6YjRlYzplYzc3ZDA0YmQwNjEzMDJhMWM4MTM3YWRjZDE0MWZkYzQ4MmI5ZDZhMmM3N2RhMDlhNWExNmE2ZDVjMGNjMmVmOnA6VDpO</vt:lpwstr>
      </vt:variant>
      <vt:variant>
        <vt:lpwstr>!scenarioRecommendation:18</vt:lpwstr>
      </vt:variant>
      <vt:variant>
        <vt:i4>2883621</vt:i4>
      </vt:variant>
      <vt:variant>
        <vt:i4>45</vt:i4>
      </vt:variant>
      <vt:variant>
        <vt:i4>0</vt:i4>
      </vt:variant>
      <vt:variant>
        <vt:i4>5</vt:i4>
      </vt:variant>
      <vt:variant>
        <vt:lpwstr>https://protect.checkpoint.com/v2/___https://www.rcog.org.uk/globalassets/documents/guidelines/cmacercogjointguidelinemanagementwomenobesitypregnancya.pdf___.bXQtcHJvZC1jcC1ldXcyLTE6dW5pdmVyc2l0eWhvc3BpdGFsc291dGhhbXB0b246YzpvOmUxNGJkOTliZDY0ODhkNDkxMDM3MjdjODlmODU1NWU5OjY6NDM2MTplNWQ1MDUxOTc4ZDk4NDM4OTU3MWVkNGJlZjI2YTQ3MDg0NDM0YzY1NTFiODI4ZmY4OWE4MmEyMjcxZmUzYTgzOnA6VDpO</vt:lpwstr>
      </vt:variant>
      <vt:variant>
        <vt:lpwstr/>
      </vt:variant>
      <vt:variant>
        <vt:i4>3014717</vt:i4>
      </vt:variant>
      <vt:variant>
        <vt:i4>42</vt:i4>
      </vt:variant>
      <vt:variant>
        <vt:i4>0</vt:i4>
      </vt:variant>
      <vt:variant>
        <vt:i4>5</vt:i4>
      </vt:variant>
      <vt:variant>
        <vt:lpwstr>https://protect.checkpoint.com/v2/___https://www.nice.org.uk/guidance/mpg2___.bXQtcHJvZC1jcC1ldXcyLTE6dW5pdmVyc2l0eWhvc3BpdGFsc291dGhhbXB0b246YzpvOmUxNGJkOTliZDY0ODhkNDkxMDM3MjdjODlmODU1NWU5OjY6YzY2ZDpjMzg0ZTQ4ODBjN2M0NTY4YWUwYmJhNGQ5NTM5NzNlZjdhMmE4ODJkMmNlNTQ3NzMxYzc4ZWY2ZGQ0OWQ4MTQyOnA6VDpO</vt:lpwstr>
      </vt:variant>
      <vt:variant>
        <vt:lpwstr/>
      </vt:variant>
      <vt:variant>
        <vt:i4>6094854</vt:i4>
      </vt:variant>
      <vt:variant>
        <vt:i4>39</vt:i4>
      </vt:variant>
      <vt:variant>
        <vt:i4>0</vt:i4>
      </vt:variant>
      <vt:variant>
        <vt:i4>5</vt:i4>
      </vt:variant>
      <vt:variant>
        <vt:lpwstr>https://protect.checkpoint.com/v2/___https://bnf.nice.org.uk/___.bXQtcHJvZC1jcC1ldXcyLTE6dW5pdmVyc2l0eWhvc3BpdGFsc291dGhhbXB0b246YzpvOmUxNGJkOTliZDY0ODhkNDkxMDM3MjdjODlmODU1NWU5OjY6OTdhMzo5MmI2ZWJjMjgyOTA4OTlmNjVhZDk5NWEzYTQyM2VhYjY5ZjFiZDgwYTJhYzFjYTliMmFhZjBkOWI2NzM4MDM4OnA6VDpO</vt:lpwstr>
      </vt:variant>
      <vt:variant>
        <vt:lpwstr/>
      </vt:variant>
      <vt:variant>
        <vt:i4>5505054</vt:i4>
      </vt:variant>
      <vt:variant>
        <vt:i4>36</vt:i4>
      </vt:variant>
      <vt:variant>
        <vt:i4>0</vt:i4>
      </vt:variant>
      <vt:variant>
        <vt:i4>5</vt:i4>
      </vt:variant>
      <vt:variant>
        <vt:lpwstr>https://protect.checkpoint.com/v2/___http://www.medicines.org.uk/___.bXQtcHJvZC1jcC1ldXcyLTE6dW5pdmVyc2l0eWhvc3BpdGFsc291dGhhbXB0b246YzpvOmUxNGJkOTliZDY0ODhkNDkxMDM3MjdjODlmODU1NWU5OjY6MmIzOTphYzczMmE4NjFkMTFjYTY2NDc0OTdkODMxMGRhYjYxOGQxNjJiMmMzYWQ5MjYwY2FkZDdiZWVhYjFjNjY5NWFlOnA6VDpO</vt:lpwstr>
      </vt:variant>
      <vt:variant>
        <vt:lpwstr/>
      </vt:variant>
      <vt:variant>
        <vt:i4>2883644</vt:i4>
      </vt:variant>
      <vt:variant>
        <vt:i4>33</vt:i4>
      </vt:variant>
      <vt:variant>
        <vt:i4>0</vt:i4>
      </vt:variant>
      <vt:variant>
        <vt:i4>5</vt:i4>
      </vt:variant>
      <vt:variant>
        <vt:lpwstr>https://protect.checkpoint.com/v2/___http://yellowcard.mhra.gov.uk___.bXQtcHJvZC1jcC1ldXcyLTE6dW5pdmVyc2l0eWhvc3BpdGFsc291dGhhbXB0b246YzpvOmUxNGJkOTliZDY0ODhkNDkxMDM3MjdjODlmODU1NWU5OjY6YTg2MDpmNjc5ZmFhZTMzNTVmZjJlMmRiMDVhZDNkNTk0NjI1YTY4MGRjNjY0MTgzNWUxOWZhMTUwNmZmNWI1OTNmYTFjOnA6VDpO</vt:lpwstr>
      </vt:variant>
      <vt:variant>
        <vt:lpwstr/>
      </vt:variant>
      <vt:variant>
        <vt:i4>1179660</vt:i4>
      </vt:variant>
      <vt:variant>
        <vt:i4>30</vt:i4>
      </vt:variant>
      <vt:variant>
        <vt:i4>0</vt:i4>
      </vt:variant>
      <vt:variant>
        <vt:i4>5</vt:i4>
      </vt:variant>
      <vt:variant>
        <vt:lpwstr>https://protect.checkpoint.com/v2/___http://www.bnf.org___.bXQtcHJvZC1jcC1ldXcyLTE6dW5pdmVyc2l0eWhvc3BpdGFsc291dGhhbXB0b246YzpvOmUxNGJkOTliZDY0ODhkNDkxMDM3MjdjODlmODU1NWU5OjY6YmNlZDo3MmM3NTU1NTJjOTlhOTBhZjc5MjRhZTkwNmIzZjY1NTllMDM2YmE0NGJkNmJjZjY3OWY4MmEzOGYwOTE4YWZhOnA6VDpO</vt:lpwstr>
      </vt:variant>
      <vt:variant>
        <vt:lpwstr/>
      </vt:variant>
      <vt:variant>
        <vt:i4>6357119</vt:i4>
      </vt:variant>
      <vt:variant>
        <vt:i4>27</vt:i4>
      </vt:variant>
      <vt:variant>
        <vt:i4>0</vt:i4>
      </vt:variant>
      <vt:variant>
        <vt:i4>5</vt:i4>
      </vt:variant>
      <vt:variant>
        <vt:lpwstr>https://protect.checkpoint.com/v2/___http://www.medicines.org.uk___.bXQtcHJvZC1jcC1ldXcyLTE6dW5pdmVyc2l0eWhvc3BpdGFsc291dGhhbXB0b246YzpvOmUxNGJkOTliZDY0ODhkNDkxMDM3MjdjODlmODU1NWU5OjY6NjNjYzoyODRmZDMxNTUzYTM1OTM0NzgwY2NlZjRlYWExY2M2NWFhNTU4NDQ1M2QyYjNkODZjMTU2NzBlMTMxMmVkODNlOnA6VDpO</vt:lpwstr>
      </vt:variant>
      <vt:variant>
        <vt:lpwstr/>
      </vt:variant>
      <vt:variant>
        <vt:i4>1179660</vt:i4>
      </vt:variant>
      <vt:variant>
        <vt:i4>24</vt:i4>
      </vt:variant>
      <vt:variant>
        <vt:i4>0</vt:i4>
      </vt:variant>
      <vt:variant>
        <vt:i4>5</vt:i4>
      </vt:variant>
      <vt:variant>
        <vt:lpwstr>https://protect.checkpoint.com/v2/___http://www.bnf.org___.bXQtcHJvZC1jcC1ldXcyLTE6dW5pdmVyc2l0eWhvc3BpdGFsc291dGhhbXB0b246YzpvOmUxNGJkOTliZDY0ODhkNDkxMDM3MjdjODlmODU1NWU5OjY6YmNlZDo3MmM3NTU1NTJjOTlhOTBhZjc5MjRhZTkwNmIzZjY1NTllMDM2YmE0NGJkNmJjZjY3OWY4MmEzOGYwOTE4YWZhOnA6VDpO</vt:lpwstr>
      </vt:variant>
      <vt:variant>
        <vt:lpwstr/>
      </vt:variant>
      <vt:variant>
        <vt:i4>6357119</vt:i4>
      </vt:variant>
      <vt:variant>
        <vt:i4>21</vt:i4>
      </vt:variant>
      <vt:variant>
        <vt:i4>0</vt:i4>
      </vt:variant>
      <vt:variant>
        <vt:i4>5</vt:i4>
      </vt:variant>
      <vt:variant>
        <vt:lpwstr>https://protect.checkpoint.com/v2/___http://www.medicines.org.uk___.bXQtcHJvZC1jcC1ldXcyLTE6dW5pdmVyc2l0eWhvc3BpdGFsc291dGhhbXB0b246YzpvOmUxNGJkOTliZDY0ODhkNDkxMDM3MjdjODlmODU1NWU5OjY6NjNjYzoyODRmZDMxNTUzYTM1OTM0NzgwY2NlZjRlYWExY2M2NWFhNTU4NDQ1M2QyYjNkODZjMTU2NzBlMTMxMmVkODNlOnA6VDpO</vt:lpwstr>
      </vt:variant>
      <vt:variant>
        <vt:lpwstr/>
      </vt:variant>
      <vt:variant>
        <vt:i4>1179660</vt:i4>
      </vt:variant>
      <vt:variant>
        <vt:i4>18</vt:i4>
      </vt:variant>
      <vt:variant>
        <vt:i4>0</vt:i4>
      </vt:variant>
      <vt:variant>
        <vt:i4>5</vt:i4>
      </vt:variant>
      <vt:variant>
        <vt:lpwstr>https://protect.checkpoint.com/v2/___http://www.bnf.org___.bXQtcHJvZC1jcC1ldXcyLTE6dW5pdmVyc2l0eWhvc3BpdGFsc291dGhhbXB0b246YzpvOmUxNGJkOTliZDY0ODhkNDkxMDM3MjdjODlmODU1NWU5OjY6YmNlZDo3MmM3NTU1NTJjOTlhOTBhZjc5MjRhZTkwNmIzZjY1NTllMDM2YmE0NGJkNmJjZjY3OWY4MmEzOGYwOTE4YWZhOnA6VDpO</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2818168</vt:i4>
      </vt:variant>
      <vt:variant>
        <vt:i4>12</vt:i4>
      </vt:variant>
      <vt:variant>
        <vt:i4>0</vt:i4>
      </vt:variant>
      <vt:variant>
        <vt:i4>5</vt:i4>
      </vt:variant>
      <vt:variant>
        <vt:lpwstr>https://protect.checkpoint.com/v2/___https://www.nice.org.uk/guidance/mpg2/resources___.bXQtcHJvZC1jcC1ldXcyLTE6dW5pdmVyc2l0eWhvc3BpdGFsc291dGhhbXB0b246YzpvOmUxNGJkOTliZDY0ODhkNDkxMDM3MjdjODlmODU1NWU5OjY6ODc3MjpiZTcwZDgzOGIxZTg5M2RjOGUzY2NjMGZkMDA4NjRmNDAxNDUzNzQ0ZDFkOTllODgxNjQ1OGNhNzNlMDQ3NjFjOnA6VDpO</vt:lpwstr>
      </vt:variant>
      <vt:variant>
        <vt:lpwstr/>
      </vt:variant>
      <vt:variant>
        <vt:i4>262228</vt:i4>
      </vt:variant>
      <vt:variant>
        <vt:i4>9</vt:i4>
      </vt:variant>
      <vt:variant>
        <vt:i4>0</vt:i4>
      </vt:variant>
      <vt:variant>
        <vt:i4>5</vt:i4>
      </vt:variant>
      <vt:variant>
        <vt:lpwstr>https://protect.checkpoint.com/v2/___https://www.gov.uk/government/publications/patient-group-directions-pgds/patient-group-directions-who-can-use-them___.bXQtcHJvZC1jcC1ldXcyLTE6dW5pdmVyc2l0eWhvc3BpdGFsc291dGhhbXB0b246YzpvOmUxNGJkOTliZDY0ODhkNDkxMDM3MjdjODlmODU1NWU5OjY6ZTg0ODpkMTczNDBhMGEzMDFlZjQwZGZlMjhlYzFjODcxYTAzZTJjYTI3MGM4ODAxNzFlMmEyOWFmYWY0MTJhMTc2ODljOnA6VDpO</vt:lpwstr>
      </vt:variant>
      <vt:variant>
        <vt:lpwstr/>
      </vt:variant>
      <vt:variant>
        <vt:i4>7405619</vt:i4>
      </vt:variant>
      <vt:variant>
        <vt:i4>6</vt:i4>
      </vt:variant>
      <vt:variant>
        <vt:i4>0</vt:i4>
      </vt:variant>
      <vt:variant>
        <vt:i4>5</vt:i4>
      </vt:variant>
      <vt:variant>
        <vt:lpwstr>https://protect.checkpoint.com/v2/___http://publications.nice.org.uk/patient-group-directions-gpg2/appendix-a-glossary___.bXQtcHJvZC1jcC1ldXcyLTE6dW5pdmVyc2l0eWhvc3BpdGFsc291dGhhbXB0b246YzpvOmUxNGJkOTliZDY0ODhkNDkxMDM3MjdjODlmODU1NWU5OjY6ODIwMjpmMGVjYzEzYmY0NjBmNjIwN2FlZmFlN2ZhYjVhYmNkYWViM2ZjZmZmNjI1MzcwNGY2MDBjMWNlZWRiM2IzYWY4OnA6VDpO</vt:lpwstr>
      </vt:variant>
      <vt:variant>
        <vt:lpwstr>authorising-body</vt:lpwstr>
      </vt:variant>
      <vt:variant>
        <vt:i4>4063278</vt:i4>
      </vt:variant>
      <vt:variant>
        <vt:i4>3</vt:i4>
      </vt:variant>
      <vt:variant>
        <vt:i4>0</vt:i4>
      </vt:variant>
      <vt:variant>
        <vt:i4>5</vt:i4>
      </vt:variant>
      <vt:variant>
        <vt:lpwstr>https://protect.checkpoint.com/v2/___https://www.nice.org.uk/Guidance/MPG2___.bXQtcHJvZC1jcC1ldXcyLTE6dW5pdmVyc2l0eWhvc3BpdGFsc291dGhhbXB0b246YzpvOmUxNGJkOTliZDY0ODhkNDkxMDM3MjdjODlmODU1NWU5OjY6NmE4MjoyM2FmODk3NGVhNGZmNjZmYmU2ZGZkMjVmMWY0Y2ZjNTIxZjMwNmQ3YjY0ZmQ4NzRmMzgzZjVkZDQ4NjE5ZmNhOnA6VDpO</vt:lpwstr>
      </vt:variant>
      <vt:variant>
        <vt:lpwstr/>
      </vt:variant>
      <vt:variant>
        <vt:i4>5636100</vt:i4>
      </vt:variant>
      <vt:variant>
        <vt:i4>0</vt:i4>
      </vt:variant>
      <vt:variant>
        <vt:i4>0</vt:i4>
      </vt:variant>
      <vt:variant>
        <vt:i4>5</vt:i4>
      </vt:variant>
      <vt:variant>
        <vt:lpwstr>https://protect.checkpoint.com/v2/___https://www.nice.org.uk/guidance/mpg2/chapter/Recommendations___.bXQtcHJvZC1jcC1ldXcyLTE6dW5pdmVyc2l0eWhvc3BpdGFsc291dGhhbXB0b246YzpvOmUxNGJkOTliZDY0ODhkNDkxMDM3MjdjODlmODU1NWU5OjY6Y2Y4NjoyMDhlMGU1MTU0ZGZmZWFhMjNlN2I3YWJjNzJkNmY2ZDc4Y2FmNWU2YTFjY2Q2YmU5NjFjYTg1NzJkZGIzNzNiOnA6VDpO</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 Administrator</dc:creator>
  <cp:keywords/>
  <cp:lastModifiedBy>Jo Jenkins</cp:lastModifiedBy>
  <cp:revision>4</cp:revision>
  <cp:lastPrinted>2020-03-24T11:33:00Z</cp:lastPrinted>
  <dcterms:created xsi:type="dcterms:W3CDTF">2024-10-24T13:37:00Z</dcterms:created>
  <dcterms:modified xsi:type="dcterms:W3CDTF">2024-10-24T16:00:00Z</dcterms:modified>
</cp:coreProperties>
</file>