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42D6"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2C7170B9" w14:textId="77777777" w:rsidTr="005347B6">
        <w:tc>
          <w:tcPr>
            <w:tcW w:w="5000" w:type="pct"/>
            <w:shd w:val="clear" w:color="auto" w:fill="auto"/>
          </w:tcPr>
          <w:p w14:paraId="14EEE91B"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16FE40BA" w14:textId="77777777" w:rsidR="007A1448" w:rsidRPr="007A1448" w:rsidRDefault="007A1448" w:rsidP="007A1448">
      <w:pPr>
        <w:keepNext/>
        <w:spacing w:before="240" w:after="240"/>
        <w:jc w:val="center"/>
        <w:outlineLvl w:val="0"/>
        <w:rPr>
          <w:rFonts w:ascii="Arial" w:hAnsi="Arial"/>
          <w:bCs/>
          <w:kern w:val="28"/>
          <w:szCs w:val="32"/>
        </w:rPr>
      </w:pPr>
    </w:p>
    <w:p w14:paraId="3305D90B"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02643AB0" w14:textId="77777777" w:rsidR="007A1448" w:rsidRPr="00A61604" w:rsidRDefault="000D7528" w:rsidP="0044276D">
      <w:pPr>
        <w:spacing w:before="240" w:after="240"/>
        <w:jc w:val="center"/>
        <w:rPr>
          <w:rFonts w:ascii="Arial" w:hAnsi="Arial"/>
          <w:b/>
          <w:sz w:val="36"/>
          <w:szCs w:val="36"/>
        </w:rPr>
      </w:pPr>
      <w:r w:rsidRPr="000D7528">
        <w:rPr>
          <w:rFonts w:ascii="Arial" w:hAnsi="Arial"/>
          <w:b/>
          <w:bCs/>
          <w:kern w:val="28"/>
          <w:sz w:val="40"/>
          <w:szCs w:val="32"/>
        </w:rPr>
        <w:t xml:space="preserve">Supply of </w:t>
      </w:r>
      <w:r w:rsidR="00557607">
        <w:rPr>
          <w:rFonts w:ascii="Arial" w:hAnsi="Arial"/>
          <w:b/>
          <w:bCs/>
          <w:kern w:val="28"/>
          <w:sz w:val="40"/>
          <w:szCs w:val="32"/>
        </w:rPr>
        <w:t>aspirin tablets</w:t>
      </w:r>
      <w:r w:rsidR="0069351C">
        <w:rPr>
          <w:rFonts w:ascii="Arial" w:hAnsi="Arial"/>
          <w:b/>
          <w:bCs/>
          <w:kern w:val="28"/>
          <w:sz w:val="40"/>
          <w:szCs w:val="32"/>
        </w:rPr>
        <w:t xml:space="preserve"> for individuals at high risk of pre-eclampsia</w:t>
      </w:r>
      <w:r w:rsidR="00557607">
        <w:rPr>
          <w:rFonts w:ascii="Arial" w:hAnsi="Arial"/>
          <w:b/>
          <w:bCs/>
          <w:kern w:val="28"/>
          <w:sz w:val="40"/>
          <w:szCs w:val="32"/>
        </w:rPr>
        <w:t xml:space="preserve">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5A2C348C" w14:textId="2128FFCC" w:rsidR="00711452" w:rsidRPr="00711452" w:rsidRDefault="00711452" w:rsidP="00711452">
      <w:pPr>
        <w:jc w:val="center"/>
        <w:rPr>
          <w:rFonts w:ascii="Arial" w:hAnsi="Arial" w:cs="Arial"/>
          <w:b/>
          <w:sz w:val="28"/>
          <w:szCs w:val="28"/>
        </w:rPr>
      </w:pPr>
      <w:r w:rsidRPr="00711452">
        <w:rPr>
          <w:rFonts w:ascii="Arial" w:hAnsi="Arial" w:cs="Arial"/>
          <w:sz w:val="28"/>
          <w:szCs w:val="28"/>
        </w:rPr>
        <w:t xml:space="preserve">Version Number </w:t>
      </w:r>
      <w:r w:rsidR="00CA3820">
        <w:rPr>
          <w:rFonts w:ascii="Arial" w:hAnsi="Arial" w:cs="Arial"/>
          <w:sz w:val="28"/>
          <w:szCs w:val="28"/>
        </w:rPr>
        <w:t>2.0</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4D0D2CF3"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024C8815" w14:textId="77777777" w:rsidR="00711452" w:rsidRPr="00711452" w:rsidRDefault="00711452" w:rsidP="005A7498">
            <w:pPr>
              <w:spacing w:after="0" w:line="240" w:lineRule="auto"/>
              <w:jc w:val="center"/>
              <w:rPr>
                <w:rFonts w:ascii="Arial" w:hAnsi="Arial" w:cs="Arial"/>
                <w:b/>
              </w:rPr>
            </w:pPr>
            <w:r w:rsidRPr="00711452">
              <w:rPr>
                <w:rFonts w:ascii="Arial" w:hAnsi="Arial" w:cs="Arial"/>
                <w:b/>
              </w:rPr>
              <w:t>Change History</w:t>
            </w:r>
          </w:p>
        </w:tc>
      </w:tr>
      <w:tr w:rsidR="00711452" w:rsidRPr="00711452" w14:paraId="2BCFCAE2"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D823D46" w14:textId="77777777" w:rsidR="00711452" w:rsidRPr="00711452" w:rsidRDefault="00711452" w:rsidP="005A7498">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58756C7D" w14:textId="77777777" w:rsidR="00711452" w:rsidRPr="00711452" w:rsidRDefault="00711452" w:rsidP="005A7498">
            <w:pPr>
              <w:spacing w:after="0" w:line="240" w:lineRule="auto"/>
              <w:jc w:val="center"/>
              <w:rPr>
                <w:rFonts w:ascii="Arial" w:hAnsi="Arial" w:cs="Arial"/>
                <w:b/>
              </w:rPr>
            </w:pPr>
            <w:r w:rsidRPr="00711452">
              <w:rPr>
                <w:rFonts w:ascii="Arial" w:hAnsi="Arial" w:cs="Arial"/>
                <w:b/>
              </w:rPr>
              <w:t>Change details</w:t>
            </w:r>
          </w:p>
        </w:tc>
      </w:tr>
      <w:tr w:rsidR="00711452" w:rsidRPr="00711452" w14:paraId="16C761A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ADAEF6A" w14:textId="77FA7E60" w:rsidR="00492391" w:rsidRPr="00404E02" w:rsidRDefault="00711452" w:rsidP="005A7498">
            <w:pPr>
              <w:spacing w:after="0" w:line="240" w:lineRule="auto"/>
              <w:rPr>
                <w:rFonts w:ascii="Arial" w:hAnsi="Arial" w:cs="Arial"/>
                <w:color w:val="FF0000"/>
                <w:sz w:val="20"/>
                <w:szCs w:val="20"/>
              </w:rPr>
            </w:pPr>
            <w:r w:rsidRPr="00404E02">
              <w:rPr>
                <w:rFonts w:ascii="Arial" w:hAnsi="Arial" w:cs="Arial"/>
                <w:sz w:val="20"/>
                <w:szCs w:val="20"/>
              </w:rPr>
              <w:t>Version 1</w:t>
            </w:r>
            <w:r w:rsidR="004122AC">
              <w:rPr>
                <w:rFonts w:ascii="Arial" w:hAnsi="Arial" w:cs="Arial"/>
                <w:sz w:val="20"/>
                <w:szCs w:val="20"/>
              </w:rPr>
              <w:br/>
            </w:r>
            <w:r w:rsidR="009F44F6">
              <w:rPr>
                <w:rFonts w:ascii="Arial" w:hAnsi="Arial" w:cs="Arial"/>
                <w:sz w:val="20"/>
                <w:szCs w:val="20"/>
              </w:rPr>
              <w:t>February 2022</w:t>
            </w:r>
          </w:p>
        </w:tc>
        <w:tc>
          <w:tcPr>
            <w:tcW w:w="7020" w:type="dxa"/>
            <w:tcBorders>
              <w:top w:val="single" w:sz="4" w:space="0" w:color="auto"/>
              <w:left w:val="single" w:sz="4" w:space="0" w:color="auto"/>
              <w:bottom w:val="single" w:sz="4" w:space="0" w:color="auto"/>
              <w:right w:val="single" w:sz="4" w:space="0" w:color="auto"/>
            </w:tcBorders>
          </w:tcPr>
          <w:p w14:paraId="6C1FB09D" w14:textId="77777777" w:rsidR="00711452" w:rsidRPr="00404E02" w:rsidRDefault="00711452" w:rsidP="005A7498">
            <w:pPr>
              <w:spacing w:after="0" w:line="240" w:lineRule="auto"/>
              <w:rPr>
                <w:rFonts w:ascii="Arial" w:hAnsi="Arial" w:cs="Arial"/>
                <w:sz w:val="20"/>
                <w:szCs w:val="20"/>
              </w:rPr>
            </w:pPr>
            <w:r w:rsidRPr="00404E02">
              <w:rPr>
                <w:rFonts w:ascii="Arial" w:hAnsi="Arial" w:cs="Arial"/>
                <w:sz w:val="20"/>
                <w:szCs w:val="20"/>
              </w:rPr>
              <w:t>New template</w:t>
            </w:r>
          </w:p>
        </w:tc>
      </w:tr>
      <w:tr w:rsidR="00D6371D" w:rsidRPr="00CA3820" w14:paraId="682E8AB8" w14:textId="77777777" w:rsidTr="002236EB">
        <w:trPr>
          <w:trHeight w:val="485"/>
        </w:trPr>
        <w:tc>
          <w:tcPr>
            <w:tcW w:w="1781" w:type="dxa"/>
            <w:tcBorders>
              <w:top w:val="single" w:sz="4" w:space="0" w:color="auto"/>
              <w:left w:val="single" w:sz="4" w:space="0" w:color="auto"/>
              <w:bottom w:val="single" w:sz="4" w:space="0" w:color="auto"/>
              <w:right w:val="single" w:sz="4" w:space="0" w:color="auto"/>
            </w:tcBorders>
          </w:tcPr>
          <w:p w14:paraId="13C7F422" w14:textId="47121EBB" w:rsidR="00D6371D" w:rsidRPr="00CA3820" w:rsidRDefault="00D6371D" w:rsidP="005A7498">
            <w:pPr>
              <w:spacing w:after="0" w:line="240" w:lineRule="auto"/>
              <w:rPr>
                <w:rFonts w:ascii="Arial" w:hAnsi="Arial" w:cs="Arial"/>
                <w:sz w:val="20"/>
                <w:szCs w:val="20"/>
              </w:rPr>
            </w:pPr>
            <w:r w:rsidRPr="00CA3820">
              <w:rPr>
                <w:rFonts w:ascii="Arial" w:hAnsi="Arial" w:cs="Arial"/>
                <w:sz w:val="20"/>
                <w:szCs w:val="20"/>
              </w:rPr>
              <w:t>Version 2</w:t>
            </w:r>
            <w:r w:rsidR="002236EB">
              <w:rPr>
                <w:rFonts w:ascii="Arial" w:hAnsi="Arial" w:cs="Arial"/>
                <w:sz w:val="20"/>
                <w:szCs w:val="20"/>
              </w:rPr>
              <w:br/>
            </w:r>
            <w:r w:rsidR="00CA3820" w:rsidRPr="00CA3820">
              <w:rPr>
                <w:rFonts w:ascii="Arial" w:hAnsi="Arial" w:cs="Arial"/>
                <w:sz w:val="20"/>
                <w:szCs w:val="20"/>
              </w:rPr>
              <w:t>October</w:t>
            </w:r>
            <w:r w:rsidRPr="00CA3820">
              <w:rPr>
                <w:rFonts w:ascii="Arial" w:hAnsi="Arial" w:cs="Arial"/>
                <w:sz w:val="20"/>
                <w:szCs w:val="20"/>
              </w:rPr>
              <w:t xml:space="preserve"> 2024</w:t>
            </w:r>
          </w:p>
        </w:tc>
        <w:tc>
          <w:tcPr>
            <w:tcW w:w="7020" w:type="dxa"/>
            <w:tcBorders>
              <w:top w:val="single" w:sz="4" w:space="0" w:color="auto"/>
              <w:left w:val="single" w:sz="4" w:space="0" w:color="auto"/>
              <w:bottom w:val="single" w:sz="4" w:space="0" w:color="auto"/>
              <w:right w:val="single" w:sz="4" w:space="0" w:color="auto"/>
            </w:tcBorders>
          </w:tcPr>
          <w:p w14:paraId="46A5F82C" w14:textId="1B7F9774" w:rsidR="00D6371D" w:rsidRPr="00CA3820" w:rsidRDefault="00D6371D" w:rsidP="005A7498">
            <w:pPr>
              <w:spacing w:after="0" w:line="240" w:lineRule="auto"/>
              <w:rPr>
                <w:rFonts w:ascii="Arial" w:hAnsi="Arial" w:cs="Arial"/>
                <w:sz w:val="20"/>
                <w:szCs w:val="20"/>
              </w:rPr>
            </w:pPr>
            <w:r w:rsidRPr="00CA3820">
              <w:rPr>
                <w:rFonts w:ascii="Arial" w:hAnsi="Arial" w:cs="Arial"/>
                <w:sz w:val="20"/>
                <w:szCs w:val="20"/>
              </w:rPr>
              <w:t>Planned review. Updated SLWG membership.</w:t>
            </w:r>
            <w:r w:rsidR="002236EB">
              <w:rPr>
                <w:rFonts w:ascii="Arial" w:hAnsi="Arial" w:cs="Arial"/>
                <w:sz w:val="20"/>
                <w:szCs w:val="20"/>
              </w:rPr>
              <w:br/>
            </w:r>
            <w:r w:rsidRPr="00CA3820">
              <w:rPr>
                <w:rFonts w:ascii="Arial" w:hAnsi="Arial" w:cs="Arial"/>
                <w:sz w:val="20"/>
                <w:szCs w:val="20"/>
              </w:rPr>
              <w:t>Minor formatting changes.</w:t>
            </w:r>
            <w:r w:rsidR="00462109" w:rsidRPr="00CA3820">
              <w:rPr>
                <w:rFonts w:ascii="Arial" w:hAnsi="Arial" w:cs="Arial"/>
                <w:sz w:val="20"/>
                <w:szCs w:val="20"/>
              </w:rPr>
              <w:t xml:space="preserve"> Watermark removed.</w:t>
            </w:r>
          </w:p>
        </w:tc>
      </w:tr>
    </w:tbl>
    <w:p w14:paraId="5C8CB3C5" w14:textId="77777777" w:rsidR="00711452" w:rsidRPr="00711452" w:rsidRDefault="00711452" w:rsidP="00711452">
      <w:pPr>
        <w:rPr>
          <w:rFonts w:ascii="Arial" w:hAnsi="Arial" w:cs="Arial"/>
          <w:b/>
          <w:color w:val="FF0000"/>
        </w:rPr>
      </w:pPr>
    </w:p>
    <w:p w14:paraId="1CD9813B" w14:textId="77777777" w:rsidR="00711452" w:rsidRPr="00711452" w:rsidRDefault="00711452" w:rsidP="00711452">
      <w:pPr>
        <w:rPr>
          <w:rFonts w:ascii="Arial" w:hAnsi="Arial" w:cs="Arial"/>
          <w:b/>
          <w:color w:val="FF0000"/>
        </w:rPr>
      </w:pPr>
    </w:p>
    <w:p w14:paraId="5F3F8727" w14:textId="77777777" w:rsidR="00711452" w:rsidRPr="00711452" w:rsidRDefault="00711452" w:rsidP="00711452">
      <w:pPr>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2330D164" w14:textId="77777777" w:rsidR="005F19A7" w:rsidRDefault="005F19A7" w:rsidP="00711452">
      <w:pPr>
        <w:jc w:val="both"/>
        <w:rPr>
          <w:rFonts w:ascii="Arial" w:hAnsi="Arial" w:cs="Arial"/>
          <w:bCs/>
        </w:rPr>
      </w:pPr>
    </w:p>
    <w:p w14:paraId="22DDA439" w14:textId="77777777" w:rsidR="00711452" w:rsidRDefault="00711452" w:rsidP="00711452">
      <w:pPr>
        <w:keepNext/>
        <w:spacing w:before="120" w:after="120"/>
        <w:jc w:val="both"/>
        <w:outlineLvl w:val="0"/>
        <w:rPr>
          <w:rFonts w:ascii="Arial" w:hAnsi="Arial"/>
          <w:bCs/>
          <w:kern w:val="28"/>
        </w:rPr>
      </w:pPr>
      <w:r w:rsidRPr="00711452">
        <w:rPr>
          <w:rFonts w:ascii="Arial" w:hAnsi="Arial"/>
          <w:bCs/>
          <w:kern w:val="28"/>
        </w:rPr>
        <w:t xml:space="preserve">This Patient Group Direction (PGD) must only be used by registered </w:t>
      </w:r>
      <w:r>
        <w:rPr>
          <w:rFonts w:ascii="Arial" w:hAnsi="Arial"/>
          <w:bCs/>
          <w:kern w:val="28"/>
        </w:rPr>
        <w:t>professionals</w:t>
      </w:r>
      <w:r w:rsidRPr="00711452">
        <w:rPr>
          <w:rFonts w:ascii="Arial" w:hAnsi="Arial"/>
          <w:bCs/>
          <w:kern w:val="28"/>
        </w:rPr>
        <w:t xml:space="preserve"> who have been named and authorised by their organisation to practise under it</w:t>
      </w:r>
      <w:r w:rsidR="00722BE5">
        <w:rPr>
          <w:rFonts w:ascii="Arial" w:hAnsi="Arial"/>
          <w:bCs/>
          <w:kern w:val="28"/>
        </w:rPr>
        <w:t xml:space="preserve"> (See Appendix A</w:t>
      </w:r>
      <w:r w:rsidR="00AC58F7">
        <w:rPr>
          <w:rFonts w:ascii="Arial" w:hAnsi="Arial"/>
          <w:bCs/>
          <w:kern w:val="28"/>
        </w:rPr>
        <w:t>)</w:t>
      </w:r>
      <w:r w:rsidRPr="00711452">
        <w:rPr>
          <w:rFonts w:ascii="Arial" w:hAnsi="Arial"/>
          <w:bCs/>
          <w:kern w:val="28"/>
        </w:rPr>
        <w:t>. The most recent and in date final signed version of the PGD must be used.</w:t>
      </w:r>
    </w:p>
    <w:p w14:paraId="05A05118" w14:textId="77777777" w:rsidR="00D6554B" w:rsidRDefault="00D6554B" w:rsidP="0078141A">
      <w:pPr>
        <w:rPr>
          <w:rFonts w:ascii="Arial" w:hAnsi="Arial" w:cs="Arial"/>
        </w:rPr>
      </w:pPr>
    </w:p>
    <w:p w14:paraId="19B1FBFE" w14:textId="77777777" w:rsidR="005A7498" w:rsidRDefault="005A7498" w:rsidP="0078141A">
      <w:pPr>
        <w:rPr>
          <w:rFonts w:ascii="Arial" w:hAnsi="Arial" w:cs="Arial"/>
        </w:rPr>
      </w:pPr>
    </w:p>
    <w:p w14:paraId="7253C674" w14:textId="77777777" w:rsidR="0078141A" w:rsidRPr="0078141A" w:rsidRDefault="0078141A" w:rsidP="0044281C">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lastRenderedPageBreak/>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18ECF0B9" w14:textId="77777777" w:rsidTr="00524295">
        <w:tc>
          <w:tcPr>
            <w:tcW w:w="3969" w:type="dxa"/>
          </w:tcPr>
          <w:p w14:paraId="4E4815DA" w14:textId="77777777" w:rsidR="0078141A" w:rsidRPr="0078141A" w:rsidRDefault="0078141A" w:rsidP="0078141A">
            <w:pPr>
              <w:tabs>
                <w:tab w:val="center" w:pos="3312"/>
                <w:tab w:val="right" w:pos="6624"/>
                <w:tab w:val="left" w:pos="8460"/>
                <w:tab w:val="left" w:pos="9936"/>
              </w:tabs>
              <w:rPr>
                <w:rFonts w:ascii="Arial" w:hAnsi="Arial" w:cs="Arial"/>
              </w:rPr>
            </w:pPr>
            <w:r w:rsidRPr="0078141A">
              <w:rPr>
                <w:rFonts w:ascii="Arial" w:hAnsi="Arial" w:cs="Arial"/>
              </w:rPr>
              <w:t xml:space="preserve">Date PGD template comes into effect: </w:t>
            </w:r>
          </w:p>
        </w:tc>
        <w:tc>
          <w:tcPr>
            <w:tcW w:w="4536" w:type="dxa"/>
          </w:tcPr>
          <w:p w14:paraId="3E7B3D56" w14:textId="4036D39B" w:rsidR="0078141A" w:rsidRPr="005A7498" w:rsidRDefault="005A7498" w:rsidP="00D6554B">
            <w:pPr>
              <w:tabs>
                <w:tab w:val="center" w:pos="3312"/>
                <w:tab w:val="right" w:pos="6624"/>
                <w:tab w:val="left" w:pos="8460"/>
                <w:tab w:val="left" w:pos="9936"/>
              </w:tabs>
              <w:rPr>
                <w:rFonts w:ascii="Arial" w:hAnsi="Arial" w:cs="Arial"/>
              </w:rPr>
            </w:pPr>
            <w:r w:rsidRPr="005A7498">
              <w:rPr>
                <w:rFonts w:ascii="Arial" w:hAnsi="Arial" w:cs="Arial"/>
              </w:rPr>
              <w:t>1</w:t>
            </w:r>
            <w:r w:rsidRPr="005A7498">
              <w:rPr>
                <w:rFonts w:ascii="Arial" w:hAnsi="Arial" w:cs="Arial"/>
                <w:vertAlign w:val="superscript"/>
              </w:rPr>
              <w:t>st</w:t>
            </w:r>
            <w:r w:rsidRPr="005A7498">
              <w:rPr>
                <w:rFonts w:ascii="Arial" w:hAnsi="Arial" w:cs="Arial"/>
              </w:rPr>
              <w:t xml:space="preserve"> February 2025</w:t>
            </w:r>
          </w:p>
        </w:tc>
      </w:tr>
      <w:tr w:rsidR="0078141A" w:rsidRPr="0078141A" w14:paraId="3CA60F3E" w14:textId="77777777" w:rsidTr="00524295">
        <w:tc>
          <w:tcPr>
            <w:tcW w:w="3969" w:type="dxa"/>
          </w:tcPr>
          <w:p w14:paraId="0B6C70D7" w14:textId="5AB0A5EB" w:rsidR="0078141A" w:rsidRPr="0078141A" w:rsidRDefault="0078141A" w:rsidP="004122AC">
            <w:pPr>
              <w:tabs>
                <w:tab w:val="center" w:pos="3312"/>
                <w:tab w:val="right" w:pos="6624"/>
                <w:tab w:val="left" w:pos="8460"/>
                <w:tab w:val="left" w:pos="9936"/>
              </w:tabs>
              <w:rPr>
                <w:rFonts w:ascii="Arial" w:hAnsi="Arial" w:cs="Arial"/>
              </w:rPr>
            </w:pPr>
            <w:r w:rsidRPr="0078141A">
              <w:rPr>
                <w:rFonts w:ascii="Arial" w:hAnsi="Arial" w:cs="Arial"/>
              </w:rPr>
              <w:t>Review date</w:t>
            </w:r>
          </w:p>
        </w:tc>
        <w:tc>
          <w:tcPr>
            <w:tcW w:w="4536" w:type="dxa"/>
          </w:tcPr>
          <w:p w14:paraId="5A319ECD" w14:textId="79AFBF07" w:rsidR="0078141A" w:rsidRPr="005A7498" w:rsidRDefault="005A7498" w:rsidP="0092064A">
            <w:pPr>
              <w:tabs>
                <w:tab w:val="center" w:pos="3312"/>
                <w:tab w:val="right" w:pos="6624"/>
                <w:tab w:val="left" w:pos="8460"/>
                <w:tab w:val="left" w:pos="9936"/>
              </w:tabs>
              <w:rPr>
                <w:rFonts w:ascii="Arial" w:hAnsi="Arial" w:cs="Arial"/>
              </w:rPr>
            </w:pPr>
            <w:r w:rsidRPr="005A7498">
              <w:rPr>
                <w:rFonts w:ascii="Arial" w:hAnsi="Arial" w:cs="Arial"/>
              </w:rPr>
              <w:t>August 2027</w:t>
            </w:r>
          </w:p>
        </w:tc>
      </w:tr>
      <w:tr w:rsidR="0078141A" w:rsidRPr="0078141A" w14:paraId="0A917336" w14:textId="77777777" w:rsidTr="00524295">
        <w:tc>
          <w:tcPr>
            <w:tcW w:w="3969" w:type="dxa"/>
          </w:tcPr>
          <w:p w14:paraId="49A37F29" w14:textId="77777777" w:rsidR="0078141A" w:rsidRPr="0078141A" w:rsidRDefault="0078141A" w:rsidP="0078141A">
            <w:pPr>
              <w:tabs>
                <w:tab w:val="center" w:pos="3312"/>
                <w:tab w:val="right" w:pos="6624"/>
                <w:tab w:val="left" w:pos="8460"/>
                <w:tab w:val="left" w:pos="9936"/>
              </w:tabs>
              <w:rPr>
                <w:rFonts w:ascii="Arial" w:hAnsi="Arial" w:cs="Arial"/>
              </w:rPr>
            </w:pPr>
            <w:r w:rsidRPr="0078141A">
              <w:rPr>
                <w:rFonts w:ascii="Arial" w:hAnsi="Arial" w:cs="Arial"/>
              </w:rPr>
              <w:t xml:space="preserve">Expiry date: </w:t>
            </w:r>
          </w:p>
        </w:tc>
        <w:tc>
          <w:tcPr>
            <w:tcW w:w="4536" w:type="dxa"/>
          </w:tcPr>
          <w:p w14:paraId="2052263B" w14:textId="501377EA" w:rsidR="0078141A" w:rsidRPr="005A7498" w:rsidRDefault="005A7498" w:rsidP="00FB6A47">
            <w:pPr>
              <w:tabs>
                <w:tab w:val="center" w:pos="3312"/>
                <w:tab w:val="right" w:pos="6624"/>
                <w:tab w:val="left" w:pos="8460"/>
                <w:tab w:val="left" w:pos="9936"/>
              </w:tabs>
              <w:rPr>
                <w:rFonts w:ascii="Arial" w:hAnsi="Arial" w:cs="Arial"/>
              </w:rPr>
            </w:pPr>
            <w:r w:rsidRPr="005A7498">
              <w:rPr>
                <w:rFonts w:ascii="Arial" w:hAnsi="Arial" w:cs="Arial"/>
              </w:rPr>
              <w:t>31</w:t>
            </w:r>
            <w:r w:rsidRPr="005A7498">
              <w:rPr>
                <w:rFonts w:ascii="Arial" w:hAnsi="Arial" w:cs="Arial"/>
                <w:vertAlign w:val="superscript"/>
              </w:rPr>
              <w:t>st</w:t>
            </w:r>
            <w:r w:rsidRPr="005A7498">
              <w:rPr>
                <w:rFonts w:ascii="Arial" w:hAnsi="Arial" w:cs="Arial"/>
              </w:rPr>
              <w:t xml:space="preserve"> January 2028</w:t>
            </w:r>
          </w:p>
        </w:tc>
      </w:tr>
    </w:tbl>
    <w:p w14:paraId="08FDA6ED" w14:textId="77777777" w:rsidR="0078141A" w:rsidRPr="0078141A" w:rsidRDefault="0078141A" w:rsidP="0078141A">
      <w:pPr>
        <w:jc w:val="both"/>
        <w:rPr>
          <w:rFonts w:ascii="Arial" w:hAnsi="Arial" w:cs="Arial"/>
          <w:bCs/>
          <w:color w:val="FF0000"/>
        </w:rPr>
      </w:pPr>
    </w:p>
    <w:p w14:paraId="05F99071" w14:textId="1461A16D" w:rsidR="00D10926" w:rsidRDefault="00D10926" w:rsidP="0078141A">
      <w:pPr>
        <w:rPr>
          <w:rFonts w:ascii="Arial" w:hAnsi="Arial" w:cs="Arial"/>
        </w:rPr>
      </w:pPr>
      <w:r w:rsidRPr="00D10926">
        <w:rPr>
          <w:rFonts w:ascii="Arial" w:hAnsi="Arial" w:cs="Arial"/>
        </w:rPr>
        <w:t xml:space="preserve">This PGD template has been peer reviewed by the </w:t>
      </w:r>
      <w:r w:rsidR="003A61A3">
        <w:rPr>
          <w:rFonts w:ascii="Arial" w:hAnsi="Arial" w:cs="Arial"/>
        </w:rPr>
        <w:t>Preventative Medicines in Pregnancy</w:t>
      </w:r>
      <w:r w:rsidRPr="00D10926">
        <w:rPr>
          <w:rFonts w:ascii="Arial" w:hAnsi="Arial" w:cs="Arial"/>
        </w:rPr>
        <w:t xml:space="preserve"> PGDs Short Life Working Group in accordance with their Terms of Reference. It has been </w:t>
      </w:r>
      <w:r w:rsidR="002C0455" w:rsidRPr="002C0455">
        <w:rPr>
          <w:rFonts w:ascii="Arial" w:hAnsi="Arial" w:cs="Arial"/>
        </w:rPr>
        <w:t xml:space="preserve">endorsed by </w:t>
      </w:r>
      <w:r w:rsidR="00887A2B">
        <w:rPr>
          <w:rFonts w:ascii="Arial" w:hAnsi="Arial" w:cs="Arial"/>
        </w:rPr>
        <w:t>Professor Donald Peebles</w:t>
      </w:r>
      <w:r w:rsidR="002C0455" w:rsidRPr="002C0455">
        <w:rPr>
          <w:rFonts w:ascii="Arial" w:hAnsi="Arial" w:cs="Arial"/>
        </w:rPr>
        <w:t>, National Clinical Director for Maternity NHS England.</w:t>
      </w:r>
    </w:p>
    <w:p w14:paraId="3BEAEE70" w14:textId="77777777" w:rsidR="0078141A" w:rsidRDefault="00AC58F7" w:rsidP="0078141A">
      <w:pPr>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529"/>
        <w:gridCol w:w="1417"/>
      </w:tblGrid>
      <w:tr w:rsidR="000A77F7" w:rsidRPr="000A77F7" w14:paraId="65DD3402" w14:textId="77777777" w:rsidTr="00426A35">
        <w:trPr>
          <w:trHeight w:val="254"/>
        </w:trPr>
        <w:tc>
          <w:tcPr>
            <w:tcW w:w="2268" w:type="dxa"/>
            <w:shd w:val="clear" w:color="auto" w:fill="D9D9D9"/>
            <w:vAlign w:val="center"/>
          </w:tcPr>
          <w:p w14:paraId="2062BA35"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cs="Arial"/>
                <w:b/>
              </w:rPr>
            </w:pPr>
            <w:bookmarkStart w:id="3" w:name="_Hlk171609844"/>
            <w:r w:rsidRPr="000A77F7">
              <w:rPr>
                <w:rFonts w:ascii="Arial" w:hAnsi="Arial" w:cs="Arial"/>
                <w:b/>
              </w:rPr>
              <w:t>Name</w:t>
            </w:r>
          </w:p>
        </w:tc>
        <w:tc>
          <w:tcPr>
            <w:tcW w:w="5529" w:type="dxa"/>
            <w:shd w:val="clear" w:color="auto" w:fill="D9D9D9"/>
            <w:vAlign w:val="center"/>
          </w:tcPr>
          <w:p w14:paraId="068E56BA"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cs="Arial"/>
                <w:b/>
              </w:rPr>
            </w:pPr>
            <w:r w:rsidRPr="000A77F7">
              <w:rPr>
                <w:rFonts w:ascii="Arial" w:hAnsi="Arial" w:cs="Arial"/>
                <w:b/>
              </w:rPr>
              <w:t>Designation</w:t>
            </w:r>
          </w:p>
        </w:tc>
        <w:tc>
          <w:tcPr>
            <w:tcW w:w="1417" w:type="dxa"/>
            <w:shd w:val="clear" w:color="auto" w:fill="D9D9D9"/>
          </w:tcPr>
          <w:p w14:paraId="1DA1DE63"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cs="Arial"/>
                <w:b/>
              </w:rPr>
            </w:pPr>
            <w:r w:rsidRPr="000A77F7">
              <w:rPr>
                <w:rFonts w:ascii="Arial" w:hAnsi="Arial" w:cs="Arial"/>
                <w:b/>
              </w:rPr>
              <w:t>DATE</w:t>
            </w:r>
          </w:p>
        </w:tc>
      </w:tr>
      <w:tr w:rsidR="000A77F7" w:rsidRPr="000A77F7" w14:paraId="1AF79248" w14:textId="77777777" w:rsidTr="00426A35">
        <w:trPr>
          <w:trHeight w:val="267"/>
        </w:trPr>
        <w:tc>
          <w:tcPr>
            <w:tcW w:w="2268" w:type="dxa"/>
          </w:tcPr>
          <w:p w14:paraId="72212BD5"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cs="Arial"/>
                <w:sz w:val="20"/>
                <w:szCs w:val="20"/>
              </w:rPr>
              <w:t>Amy Moore</w:t>
            </w:r>
          </w:p>
        </w:tc>
        <w:tc>
          <w:tcPr>
            <w:tcW w:w="5529" w:type="dxa"/>
          </w:tcPr>
          <w:p w14:paraId="7D9B74EC"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Pharmacist HIV, Sexual and Reproductive Health Kingston Hospital NHS Foundation Trust</w:t>
            </w:r>
          </w:p>
        </w:tc>
        <w:tc>
          <w:tcPr>
            <w:tcW w:w="1417" w:type="dxa"/>
            <w:vMerge w:val="restart"/>
            <w:vAlign w:val="center"/>
          </w:tcPr>
          <w:p w14:paraId="4FE18D53" w14:textId="77777777" w:rsidR="000A77F7" w:rsidRPr="000A77F7" w:rsidRDefault="000A77F7" w:rsidP="005A7498">
            <w:pPr>
              <w:tabs>
                <w:tab w:val="left" w:pos="2320"/>
              </w:tabs>
              <w:overflowPunct w:val="0"/>
              <w:autoSpaceDE w:val="0"/>
              <w:autoSpaceDN w:val="0"/>
              <w:adjustRightInd w:val="0"/>
              <w:spacing w:after="0" w:line="240" w:lineRule="auto"/>
              <w:jc w:val="center"/>
              <w:textAlignment w:val="baseline"/>
              <w:rPr>
                <w:rFonts w:ascii="Arial" w:hAnsi="Arial" w:cs="Arial"/>
                <w:sz w:val="20"/>
                <w:szCs w:val="20"/>
              </w:rPr>
            </w:pPr>
            <w:r w:rsidRPr="000A77F7">
              <w:rPr>
                <w:rFonts w:ascii="Arial" w:hAnsi="Arial" w:cs="Arial"/>
                <w:sz w:val="20"/>
                <w:szCs w:val="20"/>
              </w:rPr>
              <w:t>October 2024</w:t>
            </w:r>
          </w:p>
        </w:tc>
      </w:tr>
      <w:tr w:rsidR="000A77F7" w:rsidRPr="000A77F7" w14:paraId="31061157" w14:textId="77777777" w:rsidTr="00426A35">
        <w:trPr>
          <w:trHeight w:val="267"/>
        </w:trPr>
        <w:tc>
          <w:tcPr>
            <w:tcW w:w="2268" w:type="dxa"/>
          </w:tcPr>
          <w:p w14:paraId="26B38191"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sz w:val="20"/>
                <w:szCs w:val="20"/>
              </w:rPr>
              <w:t>Christina Nurmahi</w:t>
            </w:r>
          </w:p>
        </w:tc>
        <w:tc>
          <w:tcPr>
            <w:tcW w:w="5529" w:type="dxa"/>
          </w:tcPr>
          <w:p w14:paraId="4F7E4E00"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Women &amp; Newborn Care Group Lead Pharmacist, University Hospital Southampton NHS Foundation Trust</w:t>
            </w:r>
          </w:p>
        </w:tc>
        <w:tc>
          <w:tcPr>
            <w:tcW w:w="1417" w:type="dxa"/>
            <w:vMerge/>
          </w:tcPr>
          <w:p w14:paraId="3B8323ED"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708F94EC" w14:textId="77777777" w:rsidTr="00426A35">
        <w:trPr>
          <w:trHeight w:val="267"/>
        </w:trPr>
        <w:tc>
          <w:tcPr>
            <w:tcW w:w="2268" w:type="dxa"/>
          </w:tcPr>
          <w:p w14:paraId="50D41311"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sz w:val="20"/>
                <w:szCs w:val="20"/>
              </w:rPr>
              <w:t xml:space="preserve">Emma Luhr </w:t>
            </w:r>
          </w:p>
        </w:tc>
        <w:tc>
          <w:tcPr>
            <w:tcW w:w="5529" w:type="dxa"/>
          </w:tcPr>
          <w:p w14:paraId="72EC528F"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Director of Midwifery, Frimley Health NHS Foundation Trust</w:t>
            </w:r>
          </w:p>
        </w:tc>
        <w:tc>
          <w:tcPr>
            <w:tcW w:w="1417" w:type="dxa"/>
            <w:vMerge/>
          </w:tcPr>
          <w:p w14:paraId="6F281A8D"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1C201350" w14:textId="77777777" w:rsidTr="00426A35">
        <w:trPr>
          <w:trHeight w:val="267"/>
        </w:trPr>
        <w:tc>
          <w:tcPr>
            <w:tcW w:w="2268" w:type="dxa"/>
          </w:tcPr>
          <w:p w14:paraId="4F510BC2" w14:textId="77777777" w:rsidR="000A77F7" w:rsidRPr="000A77F7" w:rsidRDefault="000A77F7" w:rsidP="005A7498">
            <w:pPr>
              <w:spacing w:after="0" w:line="240" w:lineRule="auto"/>
              <w:rPr>
                <w:rFonts w:ascii="Arial" w:hAnsi="Arial"/>
                <w:sz w:val="20"/>
                <w:szCs w:val="20"/>
              </w:rPr>
            </w:pPr>
            <w:r w:rsidRPr="000A77F7">
              <w:rPr>
                <w:rFonts w:ascii="Arial" w:hAnsi="Arial" w:cs="Arial"/>
                <w:sz w:val="20"/>
                <w:szCs w:val="20"/>
              </w:rPr>
              <w:t>Felipe Castro Cardona</w:t>
            </w:r>
          </w:p>
        </w:tc>
        <w:tc>
          <w:tcPr>
            <w:tcW w:w="5529" w:type="dxa"/>
          </w:tcPr>
          <w:p w14:paraId="733CEC36"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Head of Midwifery Clinical Workforce</w:t>
            </w:r>
            <w:r w:rsidRPr="000A77F7">
              <w:rPr>
                <w:rFonts w:ascii="Arial" w:hAnsi="Arial" w:cs="Arial"/>
                <w:sz w:val="20"/>
                <w:szCs w:val="20"/>
              </w:rPr>
              <w:br/>
              <w:t>Chief Midwifery Office, NHS England</w:t>
            </w:r>
          </w:p>
        </w:tc>
        <w:tc>
          <w:tcPr>
            <w:tcW w:w="1417" w:type="dxa"/>
            <w:vMerge/>
          </w:tcPr>
          <w:p w14:paraId="033ED28D" w14:textId="77777777" w:rsidR="000A77F7" w:rsidRPr="000A77F7" w:rsidRDefault="000A77F7" w:rsidP="005A7498">
            <w:pPr>
              <w:spacing w:after="0" w:line="240" w:lineRule="auto"/>
              <w:rPr>
                <w:rFonts w:ascii="Arial" w:hAnsi="Arial" w:cs="Arial"/>
                <w:sz w:val="20"/>
                <w:szCs w:val="20"/>
              </w:rPr>
            </w:pPr>
          </w:p>
        </w:tc>
      </w:tr>
      <w:tr w:rsidR="000A77F7" w:rsidRPr="000A77F7" w14:paraId="49B8802E" w14:textId="77777777" w:rsidTr="00426A35">
        <w:trPr>
          <w:trHeight w:val="267"/>
        </w:trPr>
        <w:tc>
          <w:tcPr>
            <w:tcW w:w="2268" w:type="dxa"/>
          </w:tcPr>
          <w:p w14:paraId="15919E5D"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sz w:val="20"/>
                <w:szCs w:val="20"/>
              </w:rPr>
              <w:t>George Attilakos</w:t>
            </w:r>
          </w:p>
        </w:tc>
        <w:tc>
          <w:tcPr>
            <w:tcW w:w="5529" w:type="dxa"/>
          </w:tcPr>
          <w:p w14:paraId="0E75060B"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Consultant in Fetal Medicine and Obstetrics in UCLH, Clinical Lead for Obstetrics and RCOG Council member</w:t>
            </w:r>
          </w:p>
        </w:tc>
        <w:tc>
          <w:tcPr>
            <w:tcW w:w="1417" w:type="dxa"/>
            <w:vMerge/>
          </w:tcPr>
          <w:p w14:paraId="3A758693"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68467114" w14:textId="77777777" w:rsidTr="00426A35">
        <w:trPr>
          <w:trHeight w:val="267"/>
        </w:trPr>
        <w:tc>
          <w:tcPr>
            <w:tcW w:w="2268" w:type="dxa"/>
          </w:tcPr>
          <w:p w14:paraId="461A4931"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Hannah Putley</w:t>
            </w:r>
          </w:p>
          <w:p w14:paraId="7976A687"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p>
        </w:tc>
        <w:tc>
          <w:tcPr>
            <w:tcW w:w="5529" w:type="dxa"/>
          </w:tcPr>
          <w:p w14:paraId="57DF7F0E"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Policy Manager - Maternity and Neonatal, NHS Quality, Safety and Investigations, Department of Health and Social Care</w:t>
            </w:r>
          </w:p>
        </w:tc>
        <w:tc>
          <w:tcPr>
            <w:tcW w:w="1417" w:type="dxa"/>
            <w:vMerge/>
          </w:tcPr>
          <w:p w14:paraId="341A1939"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4745CD5F" w14:textId="77777777" w:rsidTr="00426A35">
        <w:trPr>
          <w:trHeight w:val="150"/>
        </w:trPr>
        <w:tc>
          <w:tcPr>
            <w:tcW w:w="2268" w:type="dxa"/>
          </w:tcPr>
          <w:p w14:paraId="716CF024"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sz w:val="20"/>
                <w:szCs w:val="20"/>
              </w:rPr>
              <w:t xml:space="preserve">Jo Jenkins </w:t>
            </w:r>
          </w:p>
        </w:tc>
        <w:tc>
          <w:tcPr>
            <w:tcW w:w="5529" w:type="dxa"/>
          </w:tcPr>
          <w:p w14:paraId="7B459A26"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sz w:val="20"/>
                <w:szCs w:val="20"/>
              </w:rPr>
            </w:pPr>
            <w:r w:rsidRPr="000A77F7">
              <w:rPr>
                <w:rFonts w:ascii="Arial" w:hAnsi="Arial" w:cs="Arial"/>
                <w:sz w:val="20"/>
                <w:szCs w:val="20"/>
              </w:rPr>
              <w:t>Associate Director Medicines Governance</w:t>
            </w:r>
            <w:r w:rsidRPr="000A77F7">
              <w:rPr>
                <w:rFonts w:ascii="Arial" w:hAnsi="Arial"/>
                <w:sz w:val="20"/>
                <w:szCs w:val="20"/>
              </w:rPr>
              <w:t xml:space="preserve"> Specialist Pharmacy Service</w:t>
            </w:r>
          </w:p>
        </w:tc>
        <w:tc>
          <w:tcPr>
            <w:tcW w:w="1417" w:type="dxa"/>
            <w:vMerge/>
          </w:tcPr>
          <w:p w14:paraId="3837946C"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7436BDAF" w14:textId="77777777" w:rsidTr="00426A35">
        <w:trPr>
          <w:trHeight w:val="267"/>
        </w:trPr>
        <w:tc>
          <w:tcPr>
            <w:tcW w:w="2268" w:type="dxa"/>
          </w:tcPr>
          <w:p w14:paraId="5BE4A30E" w14:textId="77777777" w:rsidR="000A77F7" w:rsidRPr="000A77F7" w:rsidRDefault="000A77F7" w:rsidP="005A7498">
            <w:pPr>
              <w:overflowPunct w:val="0"/>
              <w:autoSpaceDE w:val="0"/>
              <w:autoSpaceDN w:val="0"/>
              <w:adjustRightInd w:val="0"/>
              <w:spacing w:after="0" w:line="240" w:lineRule="auto"/>
              <w:textAlignment w:val="baseline"/>
              <w:rPr>
                <w:rFonts w:ascii="Arial" w:hAnsi="Arial"/>
                <w:sz w:val="20"/>
                <w:szCs w:val="20"/>
              </w:rPr>
            </w:pPr>
            <w:r w:rsidRPr="000A77F7">
              <w:rPr>
                <w:rFonts w:ascii="Arial" w:hAnsi="Arial" w:cs="Arial"/>
                <w:sz w:val="20"/>
                <w:szCs w:val="20"/>
              </w:rPr>
              <w:t>Rosie Furner (Working Group Co-ordinator)</w:t>
            </w:r>
          </w:p>
        </w:tc>
        <w:tc>
          <w:tcPr>
            <w:tcW w:w="5529" w:type="dxa"/>
          </w:tcPr>
          <w:p w14:paraId="6D503F5A"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r w:rsidRPr="000A77F7">
              <w:rPr>
                <w:rFonts w:ascii="Arial" w:hAnsi="Arial" w:cs="Arial"/>
                <w:sz w:val="20"/>
                <w:szCs w:val="20"/>
              </w:rPr>
              <w:t>Advanced Specialist Pharmacist - Patient Group Directions and Medicines Mechanisms, Specialist Pharmacy Service</w:t>
            </w:r>
          </w:p>
        </w:tc>
        <w:tc>
          <w:tcPr>
            <w:tcW w:w="1417" w:type="dxa"/>
            <w:vMerge/>
          </w:tcPr>
          <w:p w14:paraId="3A9B55C8" w14:textId="77777777" w:rsidR="000A77F7" w:rsidRPr="000A77F7" w:rsidRDefault="000A77F7" w:rsidP="005A7498">
            <w:pPr>
              <w:tabs>
                <w:tab w:val="left" w:pos="2320"/>
              </w:tabs>
              <w:overflowPunct w:val="0"/>
              <w:autoSpaceDE w:val="0"/>
              <w:autoSpaceDN w:val="0"/>
              <w:adjustRightInd w:val="0"/>
              <w:spacing w:after="0" w:line="240" w:lineRule="auto"/>
              <w:textAlignment w:val="baseline"/>
              <w:rPr>
                <w:rFonts w:ascii="Arial" w:hAnsi="Arial" w:cs="Arial"/>
                <w:sz w:val="20"/>
                <w:szCs w:val="20"/>
              </w:rPr>
            </w:pPr>
          </w:p>
        </w:tc>
      </w:tr>
      <w:tr w:rsidR="000A77F7" w:rsidRPr="000A77F7" w14:paraId="4A58DB19" w14:textId="77777777" w:rsidTr="00426A35">
        <w:trPr>
          <w:trHeight w:val="267"/>
        </w:trPr>
        <w:tc>
          <w:tcPr>
            <w:tcW w:w="2268" w:type="dxa"/>
          </w:tcPr>
          <w:p w14:paraId="7317CF38"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Sandy Richards</w:t>
            </w:r>
          </w:p>
          <w:p w14:paraId="73757FDE" w14:textId="77777777" w:rsidR="000A77F7" w:rsidRPr="000A77F7" w:rsidRDefault="000A77F7" w:rsidP="005A7498">
            <w:pPr>
              <w:spacing w:after="0" w:line="240" w:lineRule="auto"/>
              <w:rPr>
                <w:rFonts w:ascii="Arial" w:hAnsi="Arial" w:cs="Arial"/>
                <w:sz w:val="20"/>
                <w:szCs w:val="20"/>
                <w:lang w:val="en-US"/>
              </w:rPr>
            </w:pPr>
          </w:p>
        </w:tc>
        <w:tc>
          <w:tcPr>
            <w:tcW w:w="5529" w:type="dxa"/>
          </w:tcPr>
          <w:p w14:paraId="7DB75078"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BSW LMNS Midwife</w:t>
            </w:r>
            <w:r w:rsidRPr="000A77F7">
              <w:rPr>
                <w:rFonts w:ascii="Arial" w:hAnsi="Arial" w:cs="Arial"/>
                <w:sz w:val="20"/>
                <w:szCs w:val="20"/>
              </w:rPr>
              <w:br/>
              <w:t>NHS Bath and North East Somerset, Swindon and Wiltshire Integrated Care Board (ICB)</w:t>
            </w:r>
          </w:p>
        </w:tc>
        <w:tc>
          <w:tcPr>
            <w:tcW w:w="1417" w:type="dxa"/>
            <w:vMerge/>
          </w:tcPr>
          <w:p w14:paraId="7C97104A" w14:textId="77777777" w:rsidR="000A77F7" w:rsidRPr="000A77F7" w:rsidRDefault="000A77F7" w:rsidP="005A7498">
            <w:pPr>
              <w:spacing w:after="0" w:line="240" w:lineRule="auto"/>
              <w:rPr>
                <w:rFonts w:ascii="Arial" w:hAnsi="Arial" w:cs="Arial"/>
                <w:sz w:val="20"/>
                <w:szCs w:val="20"/>
              </w:rPr>
            </w:pPr>
          </w:p>
        </w:tc>
      </w:tr>
      <w:tr w:rsidR="000A77F7" w:rsidRPr="000A77F7" w14:paraId="746886D2" w14:textId="77777777" w:rsidTr="00426A35">
        <w:trPr>
          <w:trHeight w:val="267"/>
        </w:trPr>
        <w:tc>
          <w:tcPr>
            <w:tcW w:w="2268" w:type="dxa"/>
          </w:tcPr>
          <w:p w14:paraId="4DDA1D6E"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Trixie McAree</w:t>
            </w:r>
          </w:p>
        </w:tc>
        <w:tc>
          <w:tcPr>
            <w:tcW w:w="5529" w:type="dxa"/>
          </w:tcPr>
          <w:p w14:paraId="43A7EC83"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National Midwifery Lead for Continuity of Carer, National Clinical Advisor, (Midwifery), Choice and Personalisation.</w:t>
            </w:r>
          </w:p>
        </w:tc>
        <w:tc>
          <w:tcPr>
            <w:tcW w:w="1417" w:type="dxa"/>
            <w:vMerge/>
          </w:tcPr>
          <w:p w14:paraId="1C29387B" w14:textId="77777777" w:rsidR="000A77F7" w:rsidRPr="000A77F7" w:rsidRDefault="000A77F7" w:rsidP="005A7498">
            <w:pPr>
              <w:spacing w:after="0" w:line="240" w:lineRule="auto"/>
              <w:rPr>
                <w:rFonts w:ascii="Arial" w:hAnsi="Arial" w:cs="Arial"/>
                <w:sz w:val="20"/>
                <w:szCs w:val="20"/>
              </w:rPr>
            </w:pPr>
          </w:p>
        </w:tc>
      </w:tr>
      <w:tr w:rsidR="000A77F7" w:rsidRPr="000A77F7" w14:paraId="32DB206C" w14:textId="77777777" w:rsidTr="00426A35">
        <w:trPr>
          <w:trHeight w:val="267"/>
        </w:trPr>
        <w:tc>
          <w:tcPr>
            <w:tcW w:w="2268" w:type="dxa"/>
          </w:tcPr>
          <w:p w14:paraId="690912B5"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Verena Wallace</w:t>
            </w:r>
          </w:p>
        </w:tc>
        <w:tc>
          <w:tcPr>
            <w:tcW w:w="5529" w:type="dxa"/>
          </w:tcPr>
          <w:p w14:paraId="1C1FA3AA"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Senior Midwifery Adviser (Policy), Nursing and Midwifery Council</w:t>
            </w:r>
          </w:p>
        </w:tc>
        <w:tc>
          <w:tcPr>
            <w:tcW w:w="1417" w:type="dxa"/>
            <w:vMerge/>
          </w:tcPr>
          <w:p w14:paraId="04D6788B" w14:textId="77777777" w:rsidR="000A77F7" w:rsidRPr="000A77F7" w:rsidRDefault="000A77F7" w:rsidP="005A7498">
            <w:pPr>
              <w:spacing w:after="0" w:line="240" w:lineRule="auto"/>
              <w:rPr>
                <w:rFonts w:ascii="Arial" w:hAnsi="Arial" w:cs="Arial"/>
                <w:sz w:val="20"/>
                <w:szCs w:val="20"/>
              </w:rPr>
            </w:pPr>
          </w:p>
        </w:tc>
      </w:tr>
      <w:tr w:rsidR="000A77F7" w:rsidRPr="000A77F7" w14:paraId="4A7BA432" w14:textId="77777777" w:rsidTr="00426A35">
        <w:trPr>
          <w:trHeight w:val="267"/>
        </w:trPr>
        <w:tc>
          <w:tcPr>
            <w:tcW w:w="2268" w:type="dxa"/>
          </w:tcPr>
          <w:p w14:paraId="1B77A45B"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William Rial</w:t>
            </w:r>
          </w:p>
        </w:tc>
        <w:tc>
          <w:tcPr>
            <w:tcW w:w="5529" w:type="dxa"/>
          </w:tcPr>
          <w:p w14:paraId="57E8F7B8"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Regional Chief Pharmacist for East of England, NHS England</w:t>
            </w:r>
          </w:p>
        </w:tc>
        <w:tc>
          <w:tcPr>
            <w:tcW w:w="1417" w:type="dxa"/>
            <w:vMerge/>
          </w:tcPr>
          <w:p w14:paraId="1F7444AF" w14:textId="77777777" w:rsidR="000A77F7" w:rsidRPr="000A77F7" w:rsidRDefault="000A77F7" w:rsidP="005A7498">
            <w:pPr>
              <w:spacing w:after="0" w:line="240" w:lineRule="auto"/>
              <w:rPr>
                <w:rFonts w:ascii="Arial" w:hAnsi="Arial" w:cs="Arial"/>
                <w:sz w:val="20"/>
                <w:szCs w:val="20"/>
              </w:rPr>
            </w:pPr>
          </w:p>
        </w:tc>
      </w:tr>
      <w:tr w:rsidR="000A77F7" w:rsidRPr="000A77F7" w14:paraId="23925AD0" w14:textId="77777777" w:rsidTr="00426A35">
        <w:trPr>
          <w:trHeight w:val="267"/>
        </w:trPr>
        <w:tc>
          <w:tcPr>
            <w:tcW w:w="2268" w:type="dxa"/>
          </w:tcPr>
          <w:p w14:paraId="0456FBF7"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Zoë van Zuylen </w:t>
            </w:r>
          </w:p>
        </w:tc>
        <w:tc>
          <w:tcPr>
            <w:tcW w:w="5529" w:type="dxa"/>
          </w:tcPr>
          <w:p w14:paraId="180CF87E" w14:textId="77777777" w:rsidR="000A77F7" w:rsidRPr="000A77F7" w:rsidRDefault="000A77F7" w:rsidP="005A7498">
            <w:pPr>
              <w:spacing w:after="0" w:line="240" w:lineRule="auto"/>
              <w:rPr>
                <w:rFonts w:ascii="Arial" w:hAnsi="Arial" w:cs="Arial"/>
                <w:sz w:val="20"/>
                <w:szCs w:val="20"/>
              </w:rPr>
            </w:pPr>
            <w:r w:rsidRPr="000A77F7">
              <w:rPr>
                <w:rFonts w:ascii="Arial" w:hAnsi="Arial" w:cs="Arial"/>
                <w:sz w:val="20"/>
                <w:szCs w:val="20"/>
              </w:rPr>
              <w:t xml:space="preserve">Lead Women and Neonatal Pharmacist, </w:t>
            </w:r>
            <w:r w:rsidRPr="000A77F7">
              <w:rPr>
                <w:rFonts w:ascii="Arial" w:hAnsi="Arial" w:cs="Arial"/>
                <w:sz w:val="20"/>
                <w:szCs w:val="20"/>
              </w:rPr>
              <w:br/>
              <w:t xml:space="preserve">Imperial College Healthcare NHS Trust </w:t>
            </w:r>
          </w:p>
        </w:tc>
        <w:tc>
          <w:tcPr>
            <w:tcW w:w="1417" w:type="dxa"/>
            <w:vMerge/>
          </w:tcPr>
          <w:p w14:paraId="44A5B15F" w14:textId="77777777" w:rsidR="000A77F7" w:rsidRPr="000A77F7" w:rsidRDefault="000A77F7" w:rsidP="005A7498">
            <w:pPr>
              <w:spacing w:after="0" w:line="240" w:lineRule="auto"/>
              <w:rPr>
                <w:rFonts w:ascii="Arial" w:hAnsi="Arial" w:cs="Arial"/>
                <w:sz w:val="20"/>
                <w:szCs w:val="20"/>
              </w:rPr>
            </w:pPr>
          </w:p>
        </w:tc>
      </w:tr>
      <w:bookmarkEnd w:id="3"/>
    </w:tbl>
    <w:p w14:paraId="7CE26D79" w14:textId="77777777" w:rsidR="00462109" w:rsidRDefault="00462109" w:rsidP="0078141A">
      <w:pPr>
        <w:jc w:val="both"/>
        <w:rPr>
          <w:rFonts w:ascii="Arial" w:hAnsi="Arial" w:cs="Arial"/>
          <w:lang w:val="en"/>
        </w:rPr>
      </w:pPr>
    </w:p>
    <w:p w14:paraId="158EB864" w14:textId="77777777" w:rsidR="0078141A" w:rsidRDefault="0078141A" w:rsidP="0078141A">
      <w:pPr>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4F4E070F" w14:textId="13EBFD46" w:rsidR="0078141A" w:rsidRPr="0078141A" w:rsidRDefault="00D27B8F" w:rsidP="005A7498">
      <w:pPr>
        <w:spacing w:after="0" w:line="240" w:lineRule="auto"/>
        <w:jc w:val="both"/>
        <w:rPr>
          <w:rFonts w:ascii="Arial" w:hAnsi="Arial" w:cs="Arial"/>
          <w:b/>
          <w:highlight w:val="yellow"/>
        </w:rPr>
      </w:pPr>
      <w:r>
        <w:rPr>
          <w:rFonts w:ascii="Arial" w:hAnsi="Arial" w:cs="Arial"/>
          <w:b/>
        </w:rPr>
        <w:br w:type="page"/>
      </w:r>
      <w:r w:rsidR="0078141A" w:rsidRPr="0078141A">
        <w:rPr>
          <w:rFonts w:ascii="Arial" w:hAnsi="Arial" w:cs="Arial"/>
          <w:b/>
        </w:rPr>
        <w:lastRenderedPageBreak/>
        <w:t xml:space="preserve">ORGANISATIONAL AUTHORISATIONS </w:t>
      </w:r>
      <w:r w:rsidR="0078141A" w:rsidRPr="0078141A">
        <w:rPr>
          <w:rFonts w:ascii="Arial" w:hAnsi="Arial" w:cs="Arial"/>
          <w:b/>
          <w:highlight w:val="yellow"/>
        </w:rPr>
        <w:t>AND OTHER LEGAL REQUIREMENTS</w:t>
      </w:r>
    </w:p>
    <w:p w14:paraId="48C93940" w14:textId="77777777" w:rsidR="0078141A" w:rsidRDefault="0078141A" w:rsidP="005A7498">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151DA7F8" w14:textId="77777777" w:rsidR="00D27B8F" w:rsidRPr="0078141A" w:rsidRDefault="00D27B8F" w:rsidP="005A7498">
      <w:pPr>
        <w:spacing w:after="0" w:line="240" w:lineRule="auto"/>
        <w:jc w:val="both"/>
        <w:rPr>
          <w:rFonts w:ascii="Arial" w:hAnsi="Arial" w:cs="Arial"/>
          <w:b/>
          <w:highlight w:val="yellow"/>
        </w:rPr>
      </w:pPr>
    </w:p>
    <w:p w14:paraId="0121A847" w14:textId="77777777" w:rsidR="0078141A" w:rsidRPr="0078141A" w:rsidRDefault="0078141A" w:rsidP="005A7498">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77C9324" w14:textId="77777777" w:rsidR="005A7498" w:rsidRDefault="0078141A" w:rsidP="005A7498">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3414ABE" w14:textId="4C1E0A43" w:rsidR="0078141A" w:rsidRPr="0078141A" w:rsidRDefault="0078141A" w:rsidP="005A7498">
      <w:pPr>
        <w:spacing w:after="0" w:line="240" w:lineRule="auto"/>
        <w:jc w:val="both"/>
        <w:rPr>
          <w:rFonts w:ascii="Arial" w:hAnsi="Arial" w:cs="Arial"/>
        </w:rPr>
      </w:pP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1FD3D8A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D9C0083"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4CC4D93"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CC8CBC8"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5E3E8727"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Date</w:t>
            </w:r>
          </w:p>
        </w:tc>
      </w:tr>
      <w:tr w:rsidR="0078141A" w:rsidRPr="0078141A" w14:paraId="27F1D856"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1D2B77AE"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9B0F1A" w14:textId="77777777" w:rsidR="0078141A" w:rsidRPr="0078141A" w:rsidRDefault="0078141A" w:rsidP="005A749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29F1777" w14:textId="77777777" w:rsidR="0078141A" w:rsidRPr="0078141A" w:rsidRDefault="0078141A" w:rsidP="005A749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C53DA7E" w14:textId="77777777" w:rsidR="0078141A" w:rsidRPr="0078141A" w:rsidRDefault="0078141A" w:rsidP="005A7498">
            <w:pPr>
              <w:keepNext/>
              <w:spacing w:after="0" w:line="240" w:lineRule="auto"/>
              <w:rPr>
                <w:rFonts w:ascii="Arial" w:hAnsi="Arial"/>
                <w:lang w:val="en-US"/>
              </w:rPr>
            </w:pPr>
          </w:p>
        </w:tc>
      </w:tr>
      <w:tr w:rsidR="0078141A" w:rsidRPr="0078141A" w14:paraId="01FA4835"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4052D71" w14:textId="77777777" w:rsidR="0078141A" w:rsidRPr="0078141A" w:rsidRDefault="0078141A" w:rsidP="005A7498">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AD057E" w14:textId="77777777" w:rsidR="0078141A" w:rsidRPr="0078141A" w:rsidRDefault="0078141A" w:rsidP="005A749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9B88A83" w14:textId="77777777" w:rsidR="0078141A" w:rsidRPr="0078141A" w:rsidRDefault="0078141A" w:rsidP="005A749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7A6B853" w14:textId="77777777" w:rsidR="0078141A" w:rsidRPr="0078141A" w:rsidRDefault="0078141A" w:rsidP="005A7498">
            <w:pPr>
              <w:keepNext/>
              <w:spacing w:after="0" w:line="240" w:lineRule="auto"/>
              <w:rPr>
                <w:rFonts w:ascii="Arial" w:hAnsi="Arial"/>
                <w:lang w:val="en-US"/>
              </w:rPr>
            </w:pPr>
          </w:p>
        </w:tc>
      </w:tr>
      <w:tr w:rsidR="0078141A" w:rsidRPr="0078141A" w14:paraId="75B23BDE"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9B0DCFC" w14:textId="77777777" w:rsidR="0078141A" w:rsidRPr="0078141A" w:rsidRDefault="0078141A" w:rsidP="005A7498">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1AB78C" w14:textId="77777777" w:rsidR="0078141A" w:rsidRPr="0078141A" w:rsidRDefault="0078141A" w:rsidP="005A7498">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490033FA" w14:textId="77777777" w:rsidR="0078141A" w:rsidRPr="0078141A" w:rsidRDefault="0078141A" w:rsidP="005A749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7D6C78D" w14:textId="77777777" w:rsidR="0078141A" w:rsidRPr="0078141A" w:rsidRDefault="0078141A" w:rsidP="005A7498">
            <w:pPr>
              <w:keepNext/>
              <w:spacing w:after="0" w:line="240" w:lineRule="auto"/>
              <w:rPr>
                <w:rFonts w:ascii="Arial" w:hAnsi="Arial"/>
                <w:lang w:val="en-US"/>
              </w:rPr>
            </w:pPr>
          </w:p>
        </w:tc>
      </w:tr>
      <w:tr w:rsidR="0078141A" w:rsidRPr="0078141A" w14:paraId="7DFFA6F1"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51AFB712" w14:textId="77777777" w:rsidR="0078141A" w:rsidRPr="0078141A" w:rsidRDefault="0078141A" w:rsidP="005A7498">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0F1E74" w14:textId="77777777" w:rsidR="0078141A" w:rsidRPr="0078141A" w:rsidRDefault="0078141A" w:rsidP="005A7498">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103E14" w14:textId="77777777" w:rsidR="0078141A" w:rsidRPr="0078141A" w:rsidRDefault="0078141A" w:rsidP="005A7498">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22A5B5D" w14:textId="77777777" w:rsidR="0078141A" w:rsidRPr="0078141A" w:rsidRDefault="0078141A" w:rsidP="005A7498">
            <w:pPr>
              <w:keepNext/>
              <w:spacing w:after="0" w:line="240" w:lineRule="auto"/>
              <w:rPr>
                <w:rFonts w:ascii="Arial" w:hAnsi="Arial"/>
                <w:lang w:val="en-US"/>
              </w:rPr>
            </w:pPr>
          </w:p>
        </w:tc>
      </w:tr>
    </w:tbl>
    <w:p w14:paraId="1B5FFA9D" w14:textId="77777777" w:rsidR="005A7498" w:rsidRDefault="005A7498" w:rsidP="005A7498">
      <w:pPr>
        <w:spacing w:after="0" w:line="240" w:lineRule="auto"/>
        <w:jc w:val="both"/>
        <w:rPr>
          <w:rFonts w:ascii="Arial" w:hAnsi="Arial" w:cs="Arial"/>
          <w:highlight w:val="yellow"/>
        </w:rPr>
      </w:pPr>
    </w:p>
    <w:p w14:paraId="53B4798A" w14:textId="18EEC749" w:rsidR="0078141A" w:rsidRDefault="00404955" w:rsidP="005A7498">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5F491688" w14:textId="77777777" w:rsidR="00D27B8F" w:rsidRPr="0078141A" w:rsidRDefault="00D27B8F" w:rsidP="005A7498">
      <w:pPr>
        <w:spacing w:after="0" w:line="240" w:lineRule="auto"/>
        <w:jc w:val="both"/>
        <w:rPr>
          <w:rFonts w:ascii="Arial" w:hAnsi="Arial" w:cs="Arial"/>
          <w:highlight w:val="yellow"/>
        </w:rPr>
      </w:pPr>
    </w:p>
    <w:p w14:paraId="4DA78510" w14:textId="77777777" w:rsidR="00FC18B8" w:rsidRDefault="007039B4" w:rsidP="005A7498">
      <w:pPr>
        <w:spacing w:after="0" w:line="240" w:lineRule="auto"/>
        <w:jc w:val="both"/>
        <w:rPr>
          <w:rFonts w:ascii="Arial" w:hAnsi="Arial" w:cs="Arial"/>
          <w:highlight w:val="yellow"/>
        </w:rPr>
      </w:pPr>
      <w:r>
        <w:rPr>
          <w:rFonts w:ascii="Arial" w:hAnsi="Arial" w:cs="Arial"/>
          <w:highlight w:val="yellow"/>
        </w:rPr>
        <w:t>A</w:t>
      </w:r>
      <w:r w:rsidR="0078141A" w:rsidRPr="0078141A">
        <w:rPr>
          <w:rFonts w:ascii="Arial" w:hAnsi="Arial" w:cs="Arial"/>
          <w:highlight w:val="yellow"/>
        </w:rPr>
        <w:t xml:space="preserve">uthorising organisations must </w:t>
      </w:r>
      <w:r>
        <w:rPr>
          <w:rFonts w:ascii="Arial" w:hAnsi="Arial" w:cs="Arial"/>
          <w:highlight w:val="yellow"/>
        </w:rPr>
        <w:t xml:space="preserve">retain </w:t>
      </w:r>
      <w:r w:rsidR="0078141A" w:rsidRPr="0078141A">
        <w:rPr>
          <w:rFonts w:ascii="Arial" w:hAnsi="Arial" w:cs="Arial"/>
          <w:highlight w:val="yellow"/>
        </w:rPr>
        <w:t>an Individual P</w:t>
      </w:r>
      <w:r>
        <w:rPr>
          <w:rFonts w:ascii="Arial" w:hAnsi="Arial" w:cs="Arial"/>
          <w:highlight w:val="yellow"/>
        </w:rPr>
        <w:t xml:space="preserve">ractitioner Authorisation sheet, </w:t>
      </w:r>
      <w:r w:rsidR="0078141A" w:rsidRPr="0078141A">
        <w:rPr>
          <w:rFonts w:ascii="Arial" w:hAnsi="Arial" w:cs="Arial"/>
          <w:highlight w:val="yellow"/>
        </w:rPr>
        <w:t>List of Authorised Practitioners</w:t>
      </w:r>
      <w:r>
        <w:rPr>
          <w:rFonts w:ascii="Arial" w:hAnsi="Arial" w:cs="Arial"/>
          <w:highlight w:val="yellow"/>
        </w:rPr>
        <w:t xml:space="preserve"> or equivalent record of those authorised to operate under this PGD</w:t>
      </w:r>
      <w:r w:rsidR="0078141A" w:rsidRPr="0078141A">
        <w:rPr>
          <w:rFonts w:ascii="Arial" w:hAnsi="Arial" w:cs="Arial"/>
          <w:highlight w:val="yellow"/>
        </w:rPr>
        <w:t xml:space="preserve">. </w:t>
      </w:r>
      <w:r w:rsidR="00FC18B8" w:rsidRPr="0078141A">
        <w:rPr>
          <w:rFonts w:ascii="Arial" w:hAnsi="Arial" w:cs="Arial"/>
          <w:highlight w:val="yellow"/>
        </w:rPr>
        <w:t>This varies according to local policy and how the service is managed</w:t>
      </w:r>
      <w:r>
        <w:rPr>
          <w:rFonts w:ascii="Arial" w:hAnsi="Arial" w:cs="Arial"/>
          <w:highlight w:val="yellow"/>
        </w:rPr>
        <w:t xml:space="preserve"> </w:t>
      </w:r>
      <w:r w:rsidR="00FC18B8">
        <w:rPr>
          <w:rFonts w:ascii="Arial" w:hAnsi="Arial" w:cs="Arial"/>
          <w:highlight w:val="yellow"/>
        </w:rPr>
        <w:t xml:space="preserve">– it can be maintained physically or electronically according to local policy. An example is given in Appendix A.  </w:t>
      </w:r>
    </w:p>
    <w:p w14:paraId="0455F064" w14:textId="77777777" w:rsidR="00D27B8F" w:rsidRDefault="00D27B8F" w:rsidP="005A7498">
      <w:pPr>
        <w:spacing w:after="0" w:line="240" w:lineRule="auto"/>
        <w:jc w:val="both"/>
        <w:rPr>
          <w:rFonts w:ascii="Arial" w:hAnsi="Arial" w:cs="Arial"/>
          <w:highlight w:val="yellow"/>
        </w:rPr>
      </w:pPr>
    </w:p>
    <w:p w14:paraId="16152D92" w14:textId="1300055D" w:rsidR="007039B4" w:rsidRDefault="007039B4" w:rsidP="005A7498">
      <w:pPr>
        <w:spacing w:after="0" w:line="240" w:lineRule="auto"/>
        <w:jc w:val="both"/>
        <w:rPr>
          <w:rFonts w:ascii="Arial" w:hAnsi="Arial" w:cs="Arial"/>
          <w:highlight w:val="yellow"/>
        </w:rPr>
      </w:pPr>
      <w:r w:rsidRPr="007039B4">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medication(s) listed only in accordance with the PGD. </w:t>
      </w:r>
    </w:p>
    <w:p w14:paraId="19C44098" w14:textId="77777777" w:rsidR="005A7498" w:rsidRDefault="005A7498" w:rsidP="005A7498">
      <w:pPr>
        <w:spacing w:after="0" w:line="240" w:lineRule="auto"/>
        <w:jc w:val="both"/>
        <w:rPr>
          <w:rFonts w:ascii="Arial" w:hAnsi="Arial" w:cs="Arial"/>
          <w:b/>
          <w:bCs/>
          <w:highlight w:val="yellow"/>
        </w:rPr>
      </w:pPr>
    </w:p>
    <w:p w14:paraId="28D460D6" w14:textId="6E06E676" w:rsidR="0078141A" w:rsidRPr="0078141A" w:rsidRDefault="0078141A" w:rsidP="005A7498">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7693BD6B" w14:textId="77777777" w:rsidR="0078141A" w:rsidRPr="0078141A" w:rsidRDefault="0078141A" w:rsidP="005A7498">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1CD69D3F" w14:textId="77777777" w:rsidR="0078141A" w:rsidRPr="0078141A" w:rsidRDefault="0078141A" w:rsidP="005A7498">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05B3899" w14:textId="77777777" w:rsidR="0078141A" w:rsidRPr="00A03890" w:rsidRDefault="0078141A" w:rsidP="005A7498">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7697470E" w14:textId="77777777" w:rsidR="00A03890" w:rsidRPr="0078141A" w:rsidRDefault="00A03890" w:rsidP="005A7498">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248DDF7F" w14:textId="77777777" w:rsidR="00234A16" w:rsidRDefault="00AE6867" w:rsidP="005A7498">
      <w:pPr>
        <w:keepNext/>
        <w:spacing w:after="0" w:line="240" w:lineRule="auto"/>
        <w:jc w:val="both"/>
        <w:outlineLvl w:val="0"/>
        <w:rPr>
          <w:rFonts w:ascii="Arial" w:hAnsi="Arial"/>
          <w:b/>
          <w:bCs/>
          <w:kern w:val="28"/>
        </w:rPr>
      </w:pPr>
      <w:r>
        <w:rPr>
          <w:rFonts w:ascii="Arial" w:hAnsi="Arial"/>
          <w:bCs/>
          <w:kern w:val="28"/>
          <w:highlight w:val="yellow"/>
        </w:rPr>
        <w:t xml:space="preserve">Any reference to a Trust protocol (either clinical to be followed as part of the administration of a </w:t>
      </w:r>
      <w:r w:rsidR="00F16D76">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p w14:paraId="4CAEA278" w14:textId="77777777" w:rsidR="004122AC" w:rsidRDefault="004122AC" w:rsidP="005A7498">
      <w:pPr>
        <w:keepNext/>
        <w:spacing w:after="0" w:line="240" w:lineRule="auto"/>
        <w:jc w:val="both"/>
        <w:outlineLvl w:val="0"/>
        <w:rPr>
          <w:rFonts w:ascii="Arial" w:hAnsi="Arial"/>
          <w:b/>
          <w:bCs/>
          <w:kern w:val="28"/>
        </w:rPr>
      </w:pPr>
    </w:p>
    <w:p w14:paraId="0C0D2B53" w14:textId="77777777" w:rsidR="004122AC" w:rsidRPr="007A1448" w:rsidRDefault="004122AC" w:rsidP="00234A16">
      <w:pPr>
        <w:keepNext/>
        <w:spacing w:before="120" w:after="120"/>
        <w:jc w:val="both"/>
        <w:outlineLvl w:val="0"/>
        <w:rPr>
          <w:lang w:val="en-US"/>
        </w:rPr>
      </w:pPr>
    </w:p>
    <w:bookmarkEnd w:id="4"/>
    <w:p w14:paraId="71C3C4E7" w14:textId="77777777" w:rsidR="00D10926" w:rsidRPr="00D10926" w:rsidRDefault="00462109" w:rsidP="00E24288">
      <w:pPr>
        <w:numPr>
          <w:ilvl w:val="0"/>
          <w:numId w:val="21"/>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br w:type="page"/>
      </w:r>
      <w:r w:rsidR="00215D14">
        <w:rPr>
          <w:rFonts w:ascii="Arial" w:hAnsi="Arial" w:cs="Arial"/>
          <w:b/>
        </w:rPr>
        <w:lastRenderedPageBreak/>
        <w:t>Ch</w:t>
      </w:r>
      <w:r w:rsidR="00D10926" w:rsidRPr="00D10926">
        <w:rPr>
          <w:rFonts w:ascii="Arial" w:hAnsi="Arial" w:cs="Arial"/>
          <w:b/>
        </w:rPr>
        <w:t>aracteristics of staff</w:t>
      </w:r>
    </w:p>
    <w:p w14:paraId="237CDE1C" w14:textId="77777777" w:rsidR="00D10926" w:rsidRPr="00D10926" w:rsidRDefault="00D10926" w:rsidP="00D10926">
      <w:pPr>
        <w:overflowPunct w:val="0"/>
        <w:autoSpaceDE w:val="0"/>
        <w:autoSpaceDN w:val="0"/>
        <w:adjustRightInd w:val="0"/>
        <w:textAlignment w:val="baseline"/>
        <w:rPr>
          <w:rFonts w:ascii="Arial" w:hAnsi="Arial" w:cs="Arial"/>
          <w:b/>
          <w:sz w:val="2"/>
          <w:szCs w:val="2"/>
        </w:rPr>
      </w:pPr>
      <w:r w:rsidRPr="00D10926">
        <w:rPr>
          <w:rFonts w:ascii="Arial" w:hAnsi="Arial" w:cs="Arial"/>
          <w:b/>
          <w:sz w:val="2"/>
          <w:szCs w:val="2"/>
        </w:rPr>
        <w:t xml:space="preserve"> </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9"/>
        <w:gridCol w:w="6241"/>
      </w:tblGrid>
      <w:tr w:rsidR="00FC18B8" w:rsidRPr="00D10926" w14:paraId="42E35E02"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0861AD85" w14:textId="77777777" w:rsidR="00FC18B8" w:rsidRPr="00D10926" w:rsidRDefault="00FC18B8" w:rsidP="00FC18B8">
            <w:pPr>
              <w:keepNext/>
              <w:spacing w:before="60" w:after="60"/>
              <w:ind w:left="31"/>
              <w:rPr>
                <w:rFonts w:ascii="Arial" w:hAnsi="Arial"/>
                <w:b/>
                <w:bCs/>
              </w:rPr>
            </w:pPr>
            <w:r w:rsidRPr="00D10926">
              <w:rPr>
                <w:rFonts w:ascii="Arial" w:hAnsi="Arial"/>
                <w:b/>
                <w:bCs/>
              </w:rPr>
              <w:t>Qualifications and professional registration</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264A7686" w14:textId="77777777" w:rsidR="00FC18B8" w:rsidRPr="00D6554B" w:rsidRDefault="00FC18B8" w:rsidP="00FC18B8">
            <w:pPr>
              <w:pStyle w:val="Default"/>
              <w:rPr>
                <w:rFonts w:ascii="Arial" w:eastAsia="Arial" w:hAnsi="Arial" w:cs="Arial"/>
                <w:sz w:val="22"/>
                <w:szCs w:val="22"/>
              </w:rPr>
            </w:pPr>
            <w:r w:rsidRPr="00D6554B">
              <w:rPr>
                <w:rFonts w:ascii="Arial" w:eastAsia="Arial" w:hAnsi="Arial" w:cs="Arial"/>
                <w:sz w:val="22"/>
                <w:szCs w:val="22"/>
              </w:rPr>
              <w:t xml:space="preserve">Current </w:t>
            </w:r>
            <w:r>
              <w:rPr>
                <w:rFonts w:ascii="Arial" w:eastAsia="Arial" w:hAnsi="Arial" w:cs="Arial"/>
                <w:sz w:val="22"/>
                <w:szCs w:val="22"/>
              </w:rPr>
              <w:t xml:space="preserve">contract of employment within an </w:t>
            </w:r>
            <w:r w:rsidRPr="00D6554B">
              <w:rPr>
                <w:rFonts w:ascii="Arial" w:eastAsia="Arial" w:hAnsi="Arial" w:cs="Arial"/>
                <w:sz w:val="22"/>
                <w:szCs w:val="22"/>
              </w:rPr>
              <w:t xml:space="preserve">NHS commissioned service or an NHS </w:t>
            </w:r>
            <w:r w:rsidR="00AD2CF2">
              <w:rPr>
                <w:rFonts w:ascii="Arial" w:eastAsia="Arial" w:hAnsi="Arial" w:cs="Arial"/>
                <w:sz w:val="22"/>
                <w:szCs w:val="22"/>
              </w:rPr>
              <w:t>T</w:t>
            </w:r>
            <w:r w:rsidR="00AD2CF2" w:rsidRPr="00AD2CF2">
              <w:rPr>
                <w:rFonts w:ascii="Arial" w:eastAsia="Arial" w:hAnsi="Arial" w:cs="Arial"/>
                <w:sz w:val="22"/>
                <w:szCs w:val="22"/>
              </w:rPr>
              <w:t>rus</w:t>
            </w:r>
            <w:r w:rsidR="00AD2CF2">
              <w:rPr>
                <w:rFonts w:ascii="Arial" w:eastAsia="Arial" w:hAnsi="Arial" w:cs="Arial"/>
                <w:sz w:val="22"/>
                <w:szCs w:val="22"/>
              </w:rPr>
              <w:t>t/Health Board/NHS organisation.</w:t>
            </w:r>
          </w:p>
          <w:p w14:paraId="11B1B6CB" w14:textId="77777777" w:rsidR="00FC18B8" w:rsidRPr="00D6554B" w:rsidRDefault="00FC18B8" w:rsidP="00FC18B8">
            <w:pPr>
              <w:pStyle w:val="Default"/>
              <w:rPr>
                <w:rFonts w:ascii="Arial" w:eastAsia="Arial" w:hAnsi="Arial" w:cs="Arial"/>
                <w:sz w:val="22"/>
                <w:szCs w:val="22"/>
              </w:rPr>
            </w:pPr>
          </w:p>
          <w:p w14:paraId="69BE417E" w14:textId="77777777" w:rsidR="00FC18B8" w:rsidRPr="00D6554B" w:rsidRDefault="00395560" w:rsidP="00FC18B8">
            <w:pPr>
              <w:pStyle w:val="Default"/>
              <w:rPr>
                <w:rFonts w:ascii="Arial" w:eastAsia="Arial" w:hAnsi="Arial" w:cs="Arial"/>
              </w:rPr>
            </w:pPr>
            <w:hyperlink r:id="rId11" w:history="1">
              <w:r w:rsidR="00FC18B8" w:rsidRPr="00916AB5">
                <w:rPr>
                  <w:rStyle w:val="Hyperlink"/>
                  <w:rFonts w:ascii="Arial" w:eastAsia="Arial" w:hAnsi="Arial" w:cs="Arial"/>
                  <w:sz w:val="22"/>
                  <w:szCs w:val="22"/>
                </w:rPr>
                <w:t>Registered healthcare professional listed in the legislation</w:t>
              </w:r>
            </w:hyperlink>
            <w:r w:rsidR="00FC18B8" w:rsidRPr="00D6554B">
              <w:rPr>
                <w:rFonts w:ascii="Arial" w:eastAsia="Arial" w:hAnsi="Arial" w:cs="Arial"/>
                <w:sz w:val="22"/>
                <w:szCs w:val="22"/>
              </w:rPr>
              <w:t xml:space="preserve"> as able to practice under Patient Group Directions.  </w:t>
            </w:r>
          </w:p>
        </w:tc>
      </w:tr>
      <w:tr w:rsidR="00FC18B8" w:rsidRPr="00D10926" w14:paraId="33611B9E" w14:textId="77777777" w:rsidTr="00AB0D6C">
        <w:tc>
          <w:tcPr>
            <w:tcW w:w="3399" w:type="dxa"/>
            <w:tcBorders>
              <w:top w:val="single" w:sz="4" w:space="0" w:color="auto"/>
              <w:left w:val="single" w:sz="4" w:space="0" w:color="auto"/>
              <w:bottom w:val="single" w:sz="4" w:space="0" w:color="auto"/>
              <w:right w:val="single" w:sz="4" w:space="0" w:color="auto"/>
            </w:tcBorders>
            <w:shd w:val="clear" w:color="auto" w:fill="D9D9D9"/>
          </w:tcPr>
          <w:p w14:paraId="279A4766" w14:textId="77777777" w:rsidR="00FC18B8" w:rsidRPr="00D10926" w:rsidRDefault="00FC18B8" w:rsidP="00FC18B8">
            <w:pPr>
              <w:keepNext/>
              <w:spacing w:before="60" w:after="60"/>
              <w:rPr>
                <w:rFonts w:ascii="Arial" w:hAnsi="Arial"/>
                <w:b/>
                <w:bCs/>
              </w:rPr>
            </w:pPr>
            <w:r w:rsidRPr="00D10926">
              <w:rPr>
                <w:rFonts w:ascii="Arial" w:hAnsi="Arial"/>
                <w:b/>
                <w:bCs/>
              </w:rPr>
              <w:t>Initial training</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64B1D145" w14:textId="77777777" w:rsidR="00FC18B8" w:rsidRPr="00D6554B" w:rsidRDefault="00FC18B8" w:rsidP="00FC18B8">
            <w:pPr>
              <w:pStyle w:val="Default"/>
              <w:rPr>
                <w:rFonts w:ascii="Arial" w:hAnsi="Arial" w:cs="Arial"/>
                <w:sz w:val="22"/>
                <w:szCs w:val="23"/>
              </w:rPr>
            </w:pPr>
            <w:r w:rsidRPr="00D6554B">
              <w:rPr>
                <w:rFonts w:ascii="Arial" w:hAnsi="Arial" w:cs="Arial"/>
                <w:sz w:val="22"/>
                <w:szCs w:val="23"/>
              </w:rPr>
              <w:t xml:space="preserve">The registered healthcare professional authorised to operate under this PGD must have undertaken appropriate education and training and successfully completed the competencies to undertake clinical assessment of patients ensuring safe provision of the medicines listed in accordance with local policy. </w:t>
            </w:r>
          </w:p>
          <w:p w14:paraId="14B62D45" w14:textId="77777777" w:rsidR="00FC18B8" w:rsidRPr="00D6554B" w:rsidRDefault="00FC18B8" w:rsidP="00FC18B8">
            <w:pPr>
              <w:pStyle w:val="Default"/>
              <w:rPr>
                <w:rFonts w:ascii="Arial" w:hAnsi="Arial" w:cs="Arial"/>
                <w:sz w:val="22"/>
                <w:szCs w:val="23"/>
              </w:rPr>
            </w:pPr>
          </w:p>
          <w:p w14:paraId="2BF36471" w14:textId="77777777" w:rsidR="00FC18B8" w:rsidRPr="00D6554B" w:rsidRDefault="00FC18B8" w:rsidP="00FC18B8">
            <w:pPr>
              <w:pStyle w:val="Default"/>
              <w:rPr>
                <w:rFonts w:ascii="Arial" w:hAnsi="Arial" w:cs="Arial"/>
                <w:sz w:val="22"/>
                <w:szCs w:val="23"/>
              </w:rPr>
            </w:pPr>
            <w:r w:rsidRPr="00A03E4F">
              <w:rPr>
                <w:rFonts w:ascii="Arial" w:hAnsi="Arial" w:cs="Arial"/>
                <w:sz w:val="22"/>
                <w:szCs w:val="23"/>
              </w:rPr>
              <w:t>Recommended requirement for training would be successful completion of a relevant module/course accredited or endorsed by a university, Royal College of Midwives (RCM) accredited learning, or locally developed training.</w:t>
            </w:r>
            <w:r w:rsidRPr="00D6554B">
              <w:rPr>
                <w:rFonts w:ascii="Arial" w:hAnsi="Arial" w:cs="Arial"/>
                <w:sz w:val="22"/>
                <w:szCs w:val="23"/>
              </w:rPr>
              <w:t xml:space="preserve">  </w:t>
            </w:r>
          </w:p>
        </w:tc>
      </w:tr>
      <w:tr w:rsidR="00FC18B8" w:rsidRPr="00D10926" w14:paraId="230E5391" w14:textId="77777777" w:rsidTr="00AC6A2F">
        <w:trPr>
          <w:trHeight w:val="1515"/>
        </w:trPr>
        <w:tc>
          <w:tcPr>
            <w:tcW w:w="3399" w:type="dxa"/>
            <w:tcBorders>
              <w:top w:val="single" w:sz="4" w:space="0" w:color="auto"/>
              <w:left w:val="single" w:sz="4" w:space="0" w:color="auto"/>
              <w:bottom w:val="single" w:sz="4" w:space="0" w:color="auto"/>
              <w:right w:val="single" w:sz="4" w:space="0" w:color="auto"/>
            </w:tcBorders>
            <w:shd w:val="clear" w:color="auto" w:fill="D9D9D9"/>
          </w:tcPr>
          <w:p w14:paraId="2F6D4AB3" w14:textId="77777777" w:rsidR="00FC18B8" w:rsidRPr="00D10926" w:rsidRDefault="00FC18B8" w:rsidP="00FC18B8">
            <w:pPr>
              <w:keepNext/>
              <w:spacing w:before="60" w:after="60"/>
              <w:rPr>
                <w:rFonts w:ascii="Arial" w:hAnsi="Arial"/>
                <w:b/>
                <w:bCs/>
              </w:rPr>
            </w:pPr>
            <w:r w:rsidRPr="00D10926">
              <w:rPr>
                <w:rFonts w:ascii="Arial" w:hAnsi="Arial"/>
                <w:b/>
                <w:bCs/>
              </w:rPr>
              <w:t>Competency assessment</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0ED787C0" w14:textId="77777777" w:rsidR="00FC18B8" w:rsidRPr="00EB2298" w:rsidRDefault="00FC18B8" w:rsidP="00FC18B8">
            <w:pPr>
              <w:pStyle w:val="Tabletext"/>
              <w:numPr>
                <w:ilvl w:val="0"/>
                <w:numId w:val="15"/>
              </w:numPr>
              <w:spacing w:after="0"/>
            </w:pPr>
            <w:r>
              <w:t xml:space="preserve">Individuals operating under this PGD must be assessed as competent or complete a self-declaration of competence to operate under this PGD </w:t>
            </w:r>
            <w:r w:rsidRPr="00EC4DDC">
              <w:rPr>
                <w:highlight w:val="yellow"/>
              </w:rPr>
              <w:t>(see an example authorisation record sheet in Appendix A).</w:t>
            </w:r>
          </w:p>
          <w:p w14:paraId="7D7F989A" w14:textId="77777777" w:rsidR="00FC18B8" w:rsidRPr="00624836" w:rsidRDefault="00FC18B8" w:rsidP="00FC18B8">
            <w:pPr>
              <w:pStyle w:val="Tabletext"/>
              <w:numPr>
                <w:ilvl w:val="0"/>
                <w:numId w:val="15"/>
              </w:numPr>
              <w:rPr>
                <w:lang w:val="en-GB"/>
              </w:rPr>
            </w:pPr>
            <w:r w:rsidRPr="00624836">
              <w:rPr>
                <w:lang w:val="en-GB"/>
              </w:rPr>
              <w:t>Staff operating under this PGD are encouraged to review their competency using the</w:t>
            </w:r>
            <w:hyperlink r:id="rId12" w:history="1">
              <w:r w:rsidRPr="00624836">
                <w:rPr>
                  <w:rStyle w:val="Hyperlink"/>
                  <w:lang w:val="en-GB"/>
                </w:rPr>
                <w:t xml:space="preserve"> NICE Competency Framework for health professionals using patient group directions</w:t>
              </w:r>
            </w:hyperlink>
          </w:p>
        </w:tc>
      </w:tr>
      <w:tr w:rsidR="00FC18B8" w:rsidRPr="00D10926" w14:paraId="3E356D66" w14:textId="77777777" w:rsidTr="00AC6A2F">
        <w:tc>
          <w:tcPr>
            <w:tcW w:w="3399" w:type="dxa"/>
            <w:tcBorders>
              <w:top w:val="single" w:sz="4" w:space="0" w:color="auto"/>
              <w:left w:val="single" w:sz="4" w:space="0" w:color="auto"/>
              <w:bottom w:val="single" w:sz="4" w:space="0" w:color="auto"/>
              <w:right w:val="single" w:sz="4" w:space="0" w:color="auto"/>
            </w:tcBorders>
            <w:shd w:val="clear" w:color="auto" w:fill="D9D9D9"/>
          </w:tcPr>
          <w:p w14:paraId="77A8B2D2" w14:textId="77777777" w:rsidR="00FC18B8" w:rsidRPr="00D10926" w:rsidRDefault="00FC18B8" w:rsidP="00FC18B8">
            <w:pPr>
              <w:keepNext/>
              <w:spacing w:before="60" w:after="60"/>
              <w:rPr>
                <w:rFonts w:ascii="Arial" w:hAnsi="Arial"/>
                <w:b/>
                <w:bCs/>
              </w:rPr>
            </w:pPr>
            <w:r w:rsidRPr="00D10926">
              <w:rPr>
                <w:rFonts w:ascii="Arial" w:hAnsi="Arial"/>
                <w:b/>
                <w:bCs/>
              </w:rPr>
              <w:t>Ongoing training and competency</w:t>
            </w:r>
          </w:p>
        </w:tc>
        <w:tc>
          <w:tcPr>
            <w:tcW w:w="6241" w:type="dxa"/>
            <w:tcBorders>
              <w:top w:val="single" w:sz="4" w:space="0" w:color="auto"/>
              <w:left w:val="single" w:sz="4" w:space="0" w:color="auto"/>
              <w:bottom w:val="single" w:sz="4" w:space="0" w:color="auto"/>
              <w:right w:val="single" w:sz="4" w:space="0" w:color="auto"/>
            </w:tcBorders>
            <w:shd w:val="clear" w:color="auto" w:fill="auto"/>
          </w:tcPr>
          <w:p w14:paraId="1DE117A1" w14:textId="77777777" w:rsidR="00FC18B8" w:rsidRDefault="00FC18B8" w:rsidP="00FC18B8">
            <w:pPr>
              <w:pStyle w:val="Tabletext"/>
              <w:numPr>
                <w:ilvl w:val="0"/>
                <w:numId w:val="15"/>
              </w:numPr>
              <w:spacing w:after="0"/>
              <w:rPr>
                <w:lang w:val="en-GB"/>
              </w:rPr>
            </w:pPr>
            <w:r w:rsidRPr="003A4721">
              <w:rPr>
                <w:lang w:val="en-GB"/>
              </w:rPr>
              <w:t>Individuals operating under this PGD are personally responsible for ensuring they remain up to date with the use of all medicines</w:t>
            </w:r>
            <w:r>
              <w:rPr>
                <w:lang w:val="en-GB"/>
              </w:rPr>
              <w:t xml:space="preserve"> and guidance</w:t>
            </w:r>
            <w:r w:rsidRPr="003A4721">
              <w:rPr>
                <w:lang w:val="en-GB"/>
              </w:rPr>
              <w:t xml:space="preserve"> included in the PGD - if any training needs are identified these should be</w:t>
            </w:r>
            <w:r>
              <w:rPr>
                <w:lang w:val="en-GB"/>
              </w:rPr>
              <w:t xml:space="preserve"> addressed</w:t>
            </w:r>
            <w:r w:rsidRPr="003A4721">
              <w:rPr>
                <w:lang w:val="en-GB"/>
              </w:rPr>
              <w:t xml:space="preserve"> and further training provided as required.</w:t>
            </w:r>
          </w:p>
          <w:p w14:paraId="5F544059" w14:textId="77777777" w:rsidR="00FC18B8" w:rsidRPr="009702A0" w:rsidRDefault="00FC18B8" w:rsidP="00FC18B8">
            <w:pPr>
              <w:pStyle w:val="Tabletext"/>
              <w:numPr>
                <w:ilvl w:val="0"/>
                <w:numId w:val="15"/>
              </w:numPr>
              <w:spacing w:after="0"/>
              <w:rPr>
                <w:lang w:val="en-GB"/>
              </w:rPr>
            </w:pPr>
            <w:r w:rsidRPr="009702A0">
              <w:rPr>
                <w:lang w:val="en-GB"/>
              </w:rPr>
              <w:t>Organisation</w:t>
            </w:r>
            <w:r>
              <w:rPr>
                <w:lang w:val="en-GB"/>
              </w:rPr>
              <w:t>al</w:t>
            </w:r>
            <w:r w:rsidRPr="009702A0">
              <w:rPr>
                <w:lang w:val="en-GB"/>
              </w:rPr>
              <w:t xml:space="preserve"> PGD </w:t>
            </w:r>
            <w:r>
              <w:rPr>
                <w:lang w:val="en-GB"/>
              </w:rPr>
              <w:t>and/</w:t>
            </w:r>
            <w:r w:rsidRPr="009702A0">
              <w:rPr>
                <w:lang w:val="en-GB"/>
              </w:rPr>
              <w:t>or medication training as required by employing Trust/organisation.</w:t>
            </w:r>
          </w:p>
        </w:tc>
      </w:tr>
      <w:tr w:rsidR="00D10926" w:rsidRPr="00D10926" w14:paraId="3E40CD77" w14:textId="77777777" w:rsidTr="00AC6A2F">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14:paraId="22B2BE72" w14:textId="77777777" w:rsidR="00AC6A2F" w:rsidRPr="00D10926" w:rsidRDefault="00D10926" w:rsidP="00D10926">
            <w:pPr>
              <w:keepNext/>
              <w:rPr>
                <w:rFonts w:ascii="Arial" w:hAnsi="Arial"/>
              </w:rPr>
            </w:pPr>
            <w:r w:rsidRPr="00D10926">
              <w:rPr>
                <w:rFonts w:ascii="Arial" w:hAnsi="Arial"/>
              </w:rPr>
              <w:t xml:space="preserve">The decision to supply any medication rests with the individual registered health professional who must abide by the PGD and any associated organisational policies.  </w:t>
            </w:r>
          </w:p>
        </w:tc>
      </w:tr>
    </w:tbl>
    <w:p w14:paraId="571734F5" w14:textId="77777777" w:rsidR="00D10926" w:rsidRPr="00D10926" w:rsidRDefault="00D10926" w:rsidP="00D10926">
      <w:pPr>
        <w:jc w:val="center"/>
        <w:rPr>
          <w:rFonts w:ascii="Arial" w:hAnsi="Arial" w:cs="Arial"/>
          <w:b/>
          <w:sz w:val="2"/>
          <w:szCs w:val="2"/>
        </w:rPr>
      </w:pPr>
      <w:r w:rsidRPr="00D10926">
        <w:rPr>
          <w:rFonts w:ascii="Arial" w:hAnsi="Arial" w:cs="Arial"/>
          <w:b/>
          <w:sz w:val="2"/>
          <w:szCs w:val="2"/>
        </w:rPr>
        <w:br w:type="page"/>
      </w:r>
    </w:p>
    <w:p w14:paraId="305775F8" w14:textId="77777777" w:rsidR="00D10926" w:rsidRPr="00D10926" w:rsidRDefault="00D10926" w:rsidP="00E24288">
      <w:pPr>
        <w:numPr>
          <w:ilvl w:val="0"/>
          <w:numId w:val="21"/>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lastRenderedPageBreak/>
        <w:t>Clinical condition or situation to which this PGD applies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379"/>
      </w:tblGrid>
      <w:tr w:rsidR="000D7528" w:rsidRPr="000D7528" w14:paraId="722A3993" w14:textId="77777777" w:rsidTr="003317CA">
        <w:tc>
          <w:tcPr>
            <w:tcW w:w="3403" w:type="dxa"/>
            <w:shd w:val="clear" w:color="auto" w:fill="D9D9D9"/>
          </w:tcPr>
          <w:p w14:paraId="370AF6D4"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Clinical condition or situation to which this PGD applies</w:t>
            </w:r>
          </w:p>
        </w:tc>
        <w:tc>
          <w:tcPr>
            <w:tcW w:w="6379" w:type="dxa"/>
          </w:tcPr>
          <w:p w14:paraId="3AABF6DC" w14:textId="77777777" w:rsidR="000D7528" w:rsidRPr="00557607" w:rsidRDefault="00FF2445" w:rsidP="00FF2445">
            <w:pPr>
              <w:overflowPunct w:val="0"/>
              <w:autoSpaceDE w:val="0"/>
              <w:autoSpaceDN w:val="0"/>
              <w:adjustRightInd w:val="0"/>
              <w:textAlignment w:val="baseline"/>
              <w:rPr>
                <w:rFonts w:ascii="Arial" w:hAnsi="Arial" w:cs="Arial"/>
              </w:rPr>
            </w:pPr>
            <w:r>
              <w:rPr>
                <w:rFonts w:ascii="Arial" w:hAnsi="Arial" w:cs="Arial"/>
              </w:rPr>
              <w:t>For pregnant individuals</w:t>
            </w:r>
            <w:r w:rsidR="005256FA" w:rsidRPr="00557607">
              <w:rPr>
                <w:rFonts w:ascii="Arial" w:hAnsi="Arial" w:cs="Arial"/>
              </w:rPr>
              <w:t xml:space="preserve"> at risk of pre-eclampsia</w:t>
            </w:r>
            <w:r>
              <w:rPr>
                <w:rFonts w:ascii="Arial" w:hAnsi="Arial" w:cs="Arial"/>
              </w:rPr>
              <w:t>.</w:t>
            </w:r>
          </w:p>
        </w:tc>
      </w:tr>
      <w:tr w:rsidR="000D7528" w:rsidRPr="000D7528" w14:paraId="0AFC6919" w14:textId="77777777" w:rsidTr="003317CA">
        <w:tc>
          <w:tcPr>
            <w:tcW w:w="3403" w:type="dxa"/>
            <w:shd w:val="clear" w:color="auto" w:fill="D9D9D9"/>
          </w:tcPr>
          <w:p w14:paraId="58EFAC92"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Criteria for inclusion</w:t>
            </w:r>
          </w:p>
        </w:tc>
        <w:tc>
          <w:tcPr>
            <w:tcW w:w="6379" w:type="dxa"/>
          </w:tcPr>
          <w:p w14:paraId="7DBC33BA" w14:textId="77777777" w:rsidR="0069351C" w:rsidRDefault="00AD2CF2" w:rsidP="005A7498">
            <w:pPr>
              <w:widowControl w:val="0"/>
              <w:numPr>
                <w:ilvl w:val="0"/>
                <w:numId w:val="35"/>
              </w:numPr>
              <w:overflowPunct w:val="0"/>
              <w:autoSpaceDE w:val="0"/>
              <w:autoSpaceDN w:val="0"/>
              <w:adjustRightInd w:val="0"/>
              <w:spacing w:after="0" w:line="240" w:lineRule="auto"/>
              <w:ind w:left="0"/>
              <w:textAlignment w:val="baseline"/>
              <w:rPr>
                <w:rFonts w:ascii="Arial" w:hAnsi="Arial" w:cs="Arial"/>
              </w:rPr>
            </w:pPr>
            <w:r>
              <w:rPr>
                <w:rFonts w:ascii="Arial" w:hAnsi="Arial" w:cs="Arial"/>
              </w:rPr>
              <w:t>Informed c</w:t>
            </w:r>
            <w:r w:rsidR="000D7528" w:rsidRPr="000D7528">
              <w:rPr>
                <w:rFonts w:ascii="Arial" w:hAnsi="Arial" w:cs="Arial"/>
              </w:rPr>
              <w:t xml:space="preserve">onsent given.  </w:t>
            </w:r>
          </w:p>
          <w:p w14:paraId="38196CD8" w14:textId="77777777" w:rsidR="00FF2445" w:rsidRDefault="00FF2445" w:rsidP="005A7498">
            <w:pPr>
              <w:widowControl w:val="0"/>
              <w:numPr>
                <w:ilvl w:val="0"/>
                <w:numId w:val="35"/>
              </w:numPr>
              <w:overflowPunct w:val="0"/>
              <w:autoSpaceDE w:val="0"/>
              <w:autoSpaceDN w:val="0"/>
              <w:adjustRightInd w:val="0"/>
              <w:spacing w:after="0" w:line="240" w:lineRule="auto"/>
              <w:ind w:left="0"/>
              <w:textAlignment w:val="baseline"/>
              <w:rPr>
                <w:rFonts w:ascii="Arial" w:hAnsi="Arial" w:cs="Arial"/>
              </w:rPr>
            </w:pPr>
            <w:r>
              <w:rPr>
                <w:rFonts w:ascii="Arial" w:hAnsi="Arial" w:cs="Arial"/>
              </w:rPr>
              <w:t>Individuals aged 16 years and over.</w:t>
            </w:r>
          </w:p>
          <w:p w14:paraId="42716120" w14:textId="77777777" w:rsidR="00262BB2" w:rsidRPr="00FF2445" w:rsidRDefault="00FF2445" w:rsidP="005A7498">
            <w:pPr>
              <w:widowControl w:val="0"/>
              <w:numPr>
                <w:ilvl w:val="0"/>
                <w:numId w:val="35"/>
              </w:numPr>
              <w:overflowPunct w:val="0"/>
              <w:autoSpaceDE w:val="0"/>
              <w:autoSpaceDN w:val="0"/>
              <w:adjustRightInd w:val="0"/>
              <w:spacing w:after="0" w:line="240" w:lineRule="auto"/>
              <w:ind w:left="0"/>
              <w:textAlignment w:val="baseline"/>
              <w:rPr>
                <w:rFonts w:ascii="Arial" w:hAnsi="Arial" w:cs="Arial"/>
              </w:rPr>
            </w:pPr>
            <w:r>
              <w:rPr>
                <w:rFonts w:ascii="Arial" w:hAnsi="Arial" w:cs="Arial"/>
              </w:rPr>
              <w:t>Pregnant i</w:t>
            </w:r>
            <w:r w:rsidRPr="00FF2445">
              <w:rPr>
                <w:rFonts w:ascii="Arial" w:hAnsi="Arial" w:cs="Arial"/>
              </w:rPr>
              <w:t xml:space="preserve">ndividuals </w:t>
            </w:r>
            <w:r w:rsidR="00FC18B8">
              <w:rPr>
                <w:rFonts w:ascii="Arial" w:hAnsi="Arial" w:cs="Arial"/>
              </w:rPr>
              <w:t xml:space="preserve">starting </w:t>
            </w:r>
            <w:r w:rsidRPr="00FF2445">
              <w:rPr>
                <w:rFonts w:ascii="Arial" w:hAnsi="Arial" w:cs="Arial"/>
              </w:rPr>
              <w:t>from 12</w:t>
            </w:r>
            <w:r w:rsidR="00FC18B8">
              <w:rPr>
                <w:rFonts w:ascii="Arial" w:hAnsi="Arial" w:cs="Arial"/>
              </w:rPr>
              <w:t xml:space="preserve"> </w:t>
            </w:r>
            <w:r w:rsidRPr="00FF2445">
              <w:rPr>
                <w:rFonts w:ascii="Arial" w:hAnsi="Arial" w:cs="Arial"/>
              </w:rPr>
              <w:t xml:space="preserve">weeks of pregnancy to </w:t>
            </w:r>
            <w:r w:rsidR="00FC18B8" w:rsidRPr="00FC18B8">
              <w:rPr>
                <w:rFonts w:ascii="Arial" w:hAnsi="Arial" w:cs="Arial"/>
                <w:highlight w:val="cyan"/>
              </w:rPr>
              <w:t>36 weeks/</w:t>
            </w:r>
            <w:r w:rsidR="001B34D5" w:rsidRPr="00FC18B8">
              <w:rPr>
                <w:rFonts w:ascii="Arial" w:hAnsi="Arial" w:cs="Arial"/>
                <w:highlight w:val="cyan"/>
              </w:rPr>
              <w:t>delivery</w:t>
            </w:r>
            <w:r w:rsidR="00FC18B8" w:rsidRPr="00FC18B8">
              <w:rPr>
                <w:rFonts w:ascii="Arial" w:hAnsi="Arial" w:cs="Arial"/>
                <w:highlight w:val="cyan"/>
              </w:rPr>
              <w:t xml:space="preserve"> (delete as applicable to local policy)</w:t>
            </w:r>
            <w:r w:rsidR="001B34D5">
              <w:rPr>
                <w:rFonts w:ascii="Arial" w:hAnsi="Arial" w:cs="Arial"/>
              </w:rPr>
              <w:t xml:space="preserve"> </w:t>
            </w:r>
            <w:r w:rsidR="0069351C" w:rsidRPr="00FF2445">
              <w:rPr>
                <w:rFonts w:ascii="Arial" w:hAnsi="Arial" w:cs="Arial"/>
              </w:rPr>
              <w:t xml:space="preserve">identified at moderate and high risk of pre-eclampsia using the guidance outlined in </w:t>
            </w:r>
            <w:hyperlink r:id="rId13" w:history="1">
              <w:r w:rsidR="0069351C" w:rsidRPr="001B34D5">
                <w:rPr>
                  <w:rStyle w:val="Hyperlink"/>
                  <w:rFonts w:ascii="Arial" w:hAnsi="Arial" w:cs="Arial"/>
                </w:rPr>
                <w:t>Hypertension in pregnancy: diagnosis and management NICE guideline [NG133]</w:t>
              </w:r>
            </w:hyperlink>
            <w:r w:rsidR="0069351C" w:rsidRPr="00FF2445">
              <w:rPr>
                <w:rFonts w:ascii="Arial" w:hAnsi="Arial" w:cs="Arial"/>
              </w:rPr>
              <w:t xml:space="preserve"> which is assessed as</w:t>
            </w:r>
            <w:r w:rsidR="00620E75">
              <w:rPr>
                <w:rFonts w:ascii="Arial" w:hAnsi="Arial" w:cs="Arial"/>
              </w:rPr>
              <w:t>:</w:t>
            </w:r>
          </w:p>
          <w:p w14:paraId="12A7ED7B" w14:textId="5D9779AC" w:rsidR="0069351C" w:rsidRPr="005D157A" w:rsidRDefault="00986ECD" w:rsidP="005A7498">
            <w:pPr>
              <w:widowControl w:val="0"/>
              <w:numPr>
                <w:ilvl w:val="0"/>
                <w:numId w:val="34"/>
              </w:numPr>
              <w:overflowPunct w:val="0"/>
              <w:autoSpaceDE w:val="0"/>
              <w:autoSpaceDN w:val="0"/>
              <w:adjustRightInd w:val="0"/>
              <w:spacing w:after="0" w:line="240" w:lineRule="auto"/>
              <w:ind w:left="0"/>
              <w:textAlignment w:val="baseline"/>
              <w:rPr>
                <w:rFonts w:ascii="Arial" w:hAnsi="Arial" w:cs="Arial"/>
                <w:b/>
              </w:rPr>
            </w:pPr>
            <w:r>
              <w:rPr>
                <w:rFonts w:ascii="Arial" w:hAnsi="Arial" w:cs="Arial"/>
                <w:b/>
              </w:rPr>
              <w:t>Having any</w:t>
            </w:r>
            <w:r w:rsidR="0069351C" w:rsidRPr="005D157A">
              <w:rPr>
                <w:rFonts w:ascii="Arial" w:hAnsi="Arial" w:cs="Arial"/>
                <w:b/>
              </w:rPr>
              <w:t xml:space="preserve"> of the following high risk factors</w:t>
            </w:r>
            <w:r w:rsidR="005A7498">
              <w:rPr>
                <w:rFonts w:ascii="Arial" w:hAnsi="Arial" w:cs="Arial"/>
                <w:b/>
              </w:rPr>
              <w:t>:</w:t>
            </w:r>
          </w:p>
          <w:p w14:paraId="4F4E4DE4" w14:textId="77777777" w:rsidR="0069351C" w:rsidRPr="005256FA" w:rsidRDefault="0069351C"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Hypertensive disease during a previous pregnancy (pre-eclampsia or pregnancy induced hypertension).</w:t>
            </w:r>
          </w:p>
          <w:p w14:paraId="0A0F053D" w14:textId="77777777" w:rsidR="0069351C" w:rsidRPr="005256FA" w:rsidRDefault="0069351C"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Chronic kidney disease</w:t>
            </w:r>
          </w:p>
          <w:p w14:paraId="7D48ADBA" w14:textId="77777777" w:rsidR="0069351C" w:rsidRPr="005256FA" w:rsidRDefault="0069351C"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Auto-immune disease such as systemic lupus erythematosus or antiphospholipid syndrome</w:t>
            </w:r>
          </w:p>
          <w:p w14:paraId="683DBE17" w14:textId="77777777" w:rsidR="0069351C" w:rsidRPr="005256FA" w:rsidRDefault="0069351C"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Type 1 or 2 diabetes</w:t>
            </w:r>
          </w:p>
          <w:p w14:paraId="23B26C92" w14:textId="77777777" w:rsidR="0069351C" w:rsidRPr="005256FA" w:rsidRDefault="0069351C"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Chronic hypertension outside of pregnancy requiring antihypertensive treatment</w:t>
            </w:r>
            <w:r w:rsidR="0053667C">
              <w:rPr>
                <w:rFonts w:ascii="Arial" w:hAnsi="Arial" w:cs="Arial"/>
              </w:rPr>
              <w:t xml:space="preserve"> (as defined by </w:t>
            </w:r>
            <w:hyperlink r:id="rId14" w:history="1">
              <w:r w:rsidR="0053667C" w:rsidRPr="0053667C">
                <w:rPr>
                  <w:rStyle w:val="Hyperlink"/>
                  <w:rFonts w:ascii="Arial" w:hAnsi="Arial" w:cs="Arial"/>
                </w:rPr>
                <w:t>NICE</w:t>
              </w:r>
            </w:hyperlink>
            <w:r w:rsidR="0053667C">
              <w:rPr>
                <w:rFonts w:ascii="Arial" w:hAnsi="Arial" w:cs="Arial"/>
              </w:rPr>
              <w:t xml:space="preserve">) </w:t>
            </w:r>
          </w:p>
          <w:p w14:paraId="0EFBEC51" w14:textId="77777777" w:rsidR="005D157A" w:rsidRDefault="005D157A" w:rsidP="005A7498">
            <w:pPr>
              <w:spacing w:after="0" w:line="240" w:lineRule="auto"/>
              <w:rPr>
                <w:rFonts w:ascii="Arial" w:hAnsi="Arial" w:cs="Arial"/>
                <w:b/>
              </w:rPr>
            </w:pPr>
            <w:r>
              <w:rPr>
                <w:rFonts w:ascii="Arial" w:hAnsi="Arial" w:cs="Arial"/>
                <w:b/>
              </w:rPr>
              <w:t xml:space="preserve">OR </w:t>
            </w:r>
          </w:p>
          <w:p w14:paraId="71A599A4" w14:textId="40AEF1DF" w:rsidR="0069351C" w:rsidRPr="005D157A" w:rsidRDefault="00986ECD" w:rsidP="005A7498">
            <w:pPr>
              <w:numPr>
                <w:ilvl w:val="0"/>
                <w:numId w:val="34"/>
              </w:numPr>
              <w:spacing w:after="0" w:line="240" w:lineRule="auto"/>
              <w:ind w:left="0"/>
              <w:rPr>
                <w:rFonts w:ascii="Arial" w:hAnsi="Arial" w:cs="Arial"/>
                <w:b/>
              </w:rPr>
            </w:pPr>
            <w:r>
              <w:rPr>
                <w:rFonts w:ascii="Arial" w:hAnsi="Arial" w:cs="Arial"/>
                <w:b/>
              </w:rPr>
              <w:t xml:space="preserve">Having </w:t>
            </w:r>
            <w:r w:rsidR="00FC18B8">
              <w:rPr>
                <w:rFonts w:ascii="Arial" w:hAnsi="Arial" w:cs="Arial"/>
                <w:b/>
              </w:rPr>
              <w:t>two or more</w:t>
            </w:r>
            <w:r>
              <w:rPr>
                <w:rFonts w:ascii="Arial" w:hAnsi="Arial" w:cs="Arial"/>
                <w:b/>
              </w:rPr>
              <w:t xml:space="preserve"> </w:t>
            </w:r>
            <w:r w:rsidR="0069351C" w:rsidRPr="005D157A">
              <w:rPr>
                <w:rFonts w:ascii="Arial" w:hAnsi="Arial" w:cs="Arial"/>
                <w:b/>
              </w:rPr>
              <w:t>moderate risk factors</w:t>
            </w:r>
            <w:r w:rsidR="005A7498">
              <w:rPr>
                <w:rFonts w:ascii="Arial" w:hAnsi="Arial" w:cs="Arial"/>
                <w:b/>
              </w:rPr>
              <w:t>:</w:t>
            </w:r>
          </w:p>
          <w:p w14:paraId="79042DF3" w14:textId="77777777" w:rsidR="005256FA" w:rsidRPr="005256FA" w:rsidRDefault="00FC18B8"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Nulliparous individuals </w:t>
            </w:r>
          </w:p>
          <w:p w14:paraId="3063A968" w14:textId="77777777" w:rsidR="005256FA" w:rsidRPr="005256FA" w:rsidRDefault="005256FA"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Age 40 years or older</w:t>
            </w:r>
          </w:p>
          <w:p w14:paraId="7A66C46F" w14:textId="77777777" w:rsidR="005256FA" w:rsidRPr="005256FA" w:rsidRDefault="005256FA"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Pregnancy interval more than 10 years</w:t>
            </w:r>
          </w:p>
          <w:p w14:paraId="538AC55E" w14:textId="77777777" w:rsidR="005256FA" w:rsidRPr="005256FA" w:rsidRDefault="005256FA"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BMI of ≥35kg/m</w:t>
            </w:r>
            <w:r w:rsidRPr="005A7498">
              <w:rPr>
                <w:rFonts w:ascii="Arial" w:hAnsi="Arial" w:cs="Arial"/>
              </w:rPr>
              <w:t>2</w:t>
            </w:r>
            <w:r w:rsidRPr="005256FA">
              <w:rPr>
                <w:rFonts w:ascii="Arial" w:hAnsi="Arial" w:cs="Arial"/>
              </w:rPr>
              <w:t xml:space="preserve"> at first visit</w:t>
            </w:r>
          </w:p>
          <w:p w14:paraId="0DC2887C" w14:textId="77777777" w:rsidR="005256FA" w:rsidRPr="005256FA" w:rsidRDefault="005256FA"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Family history of pre-eclampsia</w:t>
            </w:r>
          </w:p>
          <w:p w14:paraId="7AFAAEA5" w14:textId="77777777" w:rsidR="001B34D5" w:rsidRDefault="005256FA" w:rsidP="005A7498">
            <w:pPr>
              <w:widowControl w:val="0"/>
              <w:numPr>
                <w:ilvl w:val="0"/>
                <w:numId w:val="40"/>
              </w:numPr>
              <w:overflowPunct w:val="0"/>
              <w:autoSpaceDE w:val="0"/>
              <w:autoSpaceDN w:val="0"/>
              <w:adjustRightInd w:val="0"/>
              <w:spacing w:after="0" w:line="240" w:lineRule="auto"/>
              <w:textAlignment w:val="baseline"/>
              <w:rPr>
                <w:rFonts w:ascii="Arial" w:hAnsi="Arial" w:cs="Arial"/>
              </w:rPr>
            </w:pPr>
            <w:r w:rsidRPr="005256FA">
              <w:rPr>
                <w:rFonts w:ascii="Arial" w:hAnsi="Arial" w:cs="Arial"/>
              </w:rPr>
              <w:t>Multiple pregnancy</w:t>
            </w:r>
          </w:p>
          <w:p w14:paraId="7E0AF995" w14:textId="77777777" w:rsidR="00171F08" w:rsidRDefault="00171F08" w:rsidP="005A7498">
            <w:pPr>
              <w:widowControl w:val="0"/>
              <w:overflowPunct w:val="0"/>
              <w:autoSpaceDE w:val="0"/>
              <w:autoSpaceDN w:val="0"/>
              <w:adjustRightInd w:val="0"/>
              <w:spacing w:after="0" w:line="240" w:lineRule="auto"/>
              <w:textAlignment w:val="baseline"/>
              <w:rPr>
                <w:rFonts w:ascii="Arial" w:hAnsi="Arial" w:cs="Arial"/>
              </w:rPr>
            </w:pPr>
          </w:p>
          <w:p w14:paraId="0615BCE6" w14:textId="77777777" w:rsidR="00171F08" w:rsidRPr="00E5007E" w:rsidRDefault="00171F08" w:rsidP="005A7498">
            <w:pPr>
              <w:widowControl w:val="0"/>
              <w:overflowPunct w:val="0"/>
              <w:autoSpaceDE w:val="0"/>
              <w:autoSpaceDN w:val="0"/>
              <w:adjustRightInd w:val="0"/>
              <w:spacing w:after="0" w:line="240" w:lineRule="auto"/>
              <w:textAlignment w:val="baseline"/>
              <w:rPr>
                <w:rFonts w:ascii="Arial" w:hAnsi="Arial" w:cs="Arial"/>
                <w:i/>
                <w:color w:val="000000"/>
                <w:shd w:val="clear" w:color="auto" w:fill="FFFFFF"/>
              </w:rPr>
            </w:pPr>
            <w:r w:rsidRPr="00C26410">
              <w:rPr>
                <w:rFonts w:ascii="Arial" w:hAnsi="Arial" w:cs="Arial"/>
                <w:i/>
                <w:highlight w:val="cyan"/>
              </w:rPr>
              <w:t xml:space="preserve">Note – local guidance may also include low dose aspirin for </w:t>
            </w:r>
            <w:r w:rsidR="00025E2E" w:rsidRPr="00C26410">
              <w:rPr>
                <w:rFonts w:ascii="Arial" w:hAnsi="Arial" w:cs="Arial"/>
                <w:i/>
                <w:highlight w:val="cyan"/>
              </w:rPr>
              <w:t xml:space="preserve">additional </w:t>
            </w:r>
            <w:r w:rsidRPr="00C26410">
              <w:rPr>
                <w:rFonts w:ascii="Arial" w:hAnsi="Arial" w:cs="Arial"/>
                <w:i/>
                <w:highlight w:val="cyan"/>
              </w:rPr>
              <w:t>indications.</w:t>
            </w:r>
            <w:r w:rsidR="00C26410" w:rsidRPr="00E5007E">
              <w:rPr>
                <w:rFonts w:ascii="Arial" w:hAnsi="Arial" w:cs="Arial"/>
                <w:i/>
                <w:color w:val="000000"/>
                <w:shd w:val="clear" w:color="auto" w:fill="FFFFFF"/>
              </w:rPr>
              <w:t xml:space="preserve"> </w:t>
            </w:r>
          </w:p>
        </w:tc>
      </w:tr>
      <w:tr w:rsidR="000D7528" w:rsidRPr="000D7528" w14:paraId="32FDF7AA" w14:textId="77777777" w:rsidTr="003317CA">
        <w:tc>
          <w:tcPr>
            <w:tcW w:w="3403" w:type="dxa"/>
            <w:shd w:val="clear" w:color="auto" w:fill="D9D9D9"/>
          </w:tcPr>
          <w:p w14:paraId="105897A3" w14:textId="77777777" w:rsidR="000D7528" w:rsidRPr="000D7528" w:rsidRDefault="000D7528" w:rsidP="000D7528">
            <w:pPr>
              <w:overflowPunct w:val="0"/>
              <w:autoSpaceDE w:val="0"/>
              <w:autoSpaceDN w:val="0"/>
              <w:adjustRightInd w:val="0"/>
              <w:spacing w:before="60" w:after="60"/>
              <w:textAlignment w:val="baseline"/>
              <w:rPr>
                <w:rFonts w:ascii="Arial" w:hAnsi="Arial" w:cs="Arial"/>
              </w:rPr>
            </w:pPr>
            <w:r w:rsidRPr="000D7528">
              <w:rPr>
                <w:rFonts w:ascii="Arial" w:hAnsi="Arial" w:cs="Arial"/>
                <w:b/>
              </w:rPr>
              <w:t>Criteria for exclusion</w:t>
            </w:r>
          </w:p>
        </w:tc>
        <w:tc>
          <w:tcPr>
            <w:tcW w:w="6379" w:type="dxa"/>
          </w:tcPr>
          <w:p w14:paraId="31BDFA7E" w14:textId="77777777" w:rsidR="000D7528" w:rsidRDefault="000D7528"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0D7528">
              <w:rPr>
                <w:rFonts w:ascii="Arial" w:hAnsi="Arial" w:cs="Arial"/>
              </w:rPr>
              <w:t xml:space="preserve">Consent not given.  </w:t>
            </w:r>
          </w:p>
          <w:p w14:paraId="603F890A" w14:textId="77777777" w:rsidR="000357C6" w:rsidRPr="000357C6" w:rsidRDefault="000357C6" w:rsidP="005A7498">
            <w:pPr>
              <w:numPr>
                <w:ilvl w:val="0"/>
                <w:numId w:val="17"/>
              </w:numPr>
              <w:spacing w:after="0" w:line="240" w:lineRule="auto"/>
              <w:ind w:left="357" w:hanging="357"/>
              <w:rPr>
                <w:rFonts w:ascii="Arial" w:hAnsi="Arial" w:cs="Arial"/>
              </w:rPr>
            </w:pPr>
            <w:r w:rsidRPr="000357C6">
              <w:rPr>
                <w:rFonts w:ascii="Arial" w:hAnsi="Arial" w:cs="Arial"/>
              </w:rPr>
              <w:t xml:space="preserve">Individuals aged under 16 years of age </w:t>
            </w:r>
          </w:p>
          <w:p w14:paraId="0079399A" w14:textId="77777777" w:rsidR="00E31788" w:rsidRPr="00E31788" w:rsidRDefault="005256FA"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5256FA">
              <w:rPr>
                <w:rFonts w:ascii="Arial" w:hAnsi="Arial" w:cs="Arial"/>
              </w:rPr>
              <w:t>Pregnanc</w:t>
            </w:r>
            <w:r w:rsidR="00262BB2">
              <w:rPr>
                <w:rFonts w:ascii="Arial" w:hAnsi="Arial" w:cs="Arial"/>
              </w:rPr>
              <w:t xml:space="preserve">y </w:t>
            </w:r>
            <w:r w:rsidRPr="005256FA">
              <w:rPr>
                <w:rFonts w:ascii="Arial" w:hAnsi="Arial" w:cs="Arial"/>
              </w:rPr>
              <w:t>prior to 12 weeks</w:t>
            </w:r>
            <w:r w:rsidR="00FC18B8">
              <w:rPr>
                <w:rFonts w:ascii="Arial" w:hAnsi="Arial" w:cs="Arial"/>
              </w:rPr>
              <w:t xml:space="preserve"> </w:t>
            </w:r>
          </w:p>
          <w:p w14:paraId="45A36AD0" w14:textId="77777777" w:rsidR="00E31788" w:rsidRDefault="0069351C"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69351C">
              <w:rPr>
                <w:rFonts w:ascii="Arial" w:hAnsi="Arial" w:cs="Arial"/>
              </w:rPr>
              <w:t>Hypersensitivity/allergy to aspirin or other Non-Steroidal Anti-inflammatory Drugs (NSAIDs)</w:t>
            </w:r>
          </w:p>
          <w:p w14:paraId="29458B4D" w14:textId="77777777" w:rsidR="00676071" w:rsidRPr="00E31788" w:rsidRDefault="00E31788"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Pr>
                <w:rFonts w:ascii="Arial" w:hAnsi="Arial" w:cs="Arial"/>
              </w:rPr>
              <w:t>Known h</w:t>
            </w:r>
            <w:r w:rsidR="00676071" w:rsidRPr="00E31788">
              <w:rPr>
                <w:rFonts w:ascii="Arial" w:hAnsi="Arial" w:cs="Arial"/>
              </w:rPr>
              <w:t xml:space="preserve">istory </w:t>
            </w:r>
            <w:r>
              <w:rPr>
                <w:rFonts w:ascii="Arial" w:hAnsi="Arial" w:cs="Arial"/>
              </w:rPr>
              <w:t xml:space="preserve">of </w:t>
            </w:r>
            <w:r w:rsidR="00676071" w:rsidRPr="00E31788">
              <w:rPr>
                <w:rFonts w:ascii="Arial" w:hAnsi="Arial" w:cs="Arial"/>
              </w:rPr>
              <w:t xml:space="preserve">asthma </w:t>
            </w:r>
            <w:r>
              <w:rPr>
                <w:rFonts w:ascii="Arial" w:hAnsi="Arial" w:cs="Arial"/>
              </w:rPr>
              <w:t>deterioration when</w:t>
            </w:r>
            <w:r w:rsidR="00676071" w:rsidRPr="00E31788">
              <w:rPr>
                <w:rFonts w:ascii="Arial" w:hAnsi="Arial" w:cs="Arial"/>
              </w:rPr>
              <w:t xml:space="preserve"> taking NSAIDs or aspirin – if any doubt discuss with specialist clinician before initiating</w:t>
            </w:r>
          </w:p>
          <w:p w14:paraId="6BFDD0D4" w14:textId="77777777" w:rsidR="0069351C" w:rsidRPr="0069351C" w:rsidRDefault="0069351C"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69351C">
              <w:rPr>
                <w:rFonts w:ascii="Arial" w:hAnsi="Arial" w:cs="Arial"/>
              </w:rPr>
              <w:t>Active or history of recurrent peptic ulcer and</w:t>
            </w:r>
            <w:r w:rsidR="00163D93">
              <w:rPr>
                <w:rFonts w:ascii="Arial" w:hAnsi="Arial" w:cs="Arial"/>
              </w:rPr>
              <w:t>/or gastric</w:t>
            </w:r>
            <w:r w:rsidRPr="0069351C">
              <w:rPr>
                <w:rFonts w:ascii="Arial" w:hAnsi="Arial" w:cs="Arial"/>
              </w:rPr>
              <w:t xml:space="preserve">/intestinal haemorrhage or other </w:t>
            </w:r>
            <w:r w:rsidR="00163D93">
              <w:rPr>
                <w:rFonts w:ascii="Arial" w:hAnsi="Arial" w:cs="Arial"/>
              </w:rPr>
              <w:t>type</w:t>
            </w:r>
            <w:r w:rsidRPr="0069351C">
              <w:rPr>
                <w:rFonts w:ascii="Arial" w:hAnsi="Arial" w:cs="Arial"/>
              </w:rPr>
              <w:t>s of bleeding such as cerebrovascular haemorrhages.</w:t>
            </w:r>
          </w:p>
          <w:p w14:paraId="03413647" w14:textId="77777777" w:rsidR="0069351C" w:rsidRPr="0069351C" w:rsidRDefault="00163D93"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Pr>
                <w:rFonts w:ascii="Arial" w:hAnsi="Arial" w:cs="Arial"/>
              </w:rPr>
              <w:t>Known b</w:t>
            </w:r>
            <w:r w:rsidR="0069351C" w:rsidRPr="0069351C">
              <w:rPr>
                <w:rFonts w:ascii="Arial" w:hAnsi="Arial" w:cs="Arial"/>
              </w:rPr>
              <w:t>leeding disorder e.g. Von Willebrand’s disease</w:t>
            </w:r>
          </w:p>
          <w:p w14:paraId="77CBEC93" w14:textId="77777777" w:rsidR="0069351C" w:rsidRPr="0069351C" w:rsidRDefault="00163D93"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Pr>
                <w:rFonts w:ascii="Arial" w:hAnsi="Arial" w:cs="Arial"/>
              </w:rPr>
              <w:t>Known c</w:t>
            </w:r>
            <w:r w:rsidR="0069351C" w:rsidRPr="0069351C">
              <w:rPr>
                <w:rFonts w:ascii="Arial" w:hAnsi="Arial" w:cs="Arial"/>
              </w:rPr>
              <w:t xml:space="preserve">oagulation disorder </w:t>
            </w:r>
            <w:r>
              <w:rPr>
                <w:rFonts w:ascii="Arial" w:hAnsi="Arial" w:cs="Arial"/>
              </w:rPr>
              <w:t>e.g.</w:t>
            </w:r>
            <w:r w:rsidR="0069351C" w:rsidRPr="0069351C">
              <w:rPr>
                <w:rFonts w:ascii="Arial" w:hAnsi="Arial" w:cs="Arial"/>
              </w:rPr>
              <w:t xml:space="preserve"> haemophilia and thrombocytopenia.</w:t>
            </w:r>
          </w:p>
          <w:p w14:paraId="653FB8BE" w14:textId="77777777" w:rsidR="00FF2445" w:rsidRPr="00163D93" w:rsidRDefault="00163D93"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163D93">
              <w:rPr>
                <w:rFonts w:ascii="Arial" w:hAnsi="Arial" w:cs="Arial"/>
              </w:rPr>
              <w:t>Active</w:t>
            </w:r>
            <w:r w:rsidR="00FF2445" w:rsidRPr="00163D93">
              <w:rPr>
                <w:rFonts w:ascii="Arial" w:hAnsi="Arial" w:cs="Arial"/>
              </w:rPr>
              <w:t xml:space="preserve"> </w:t>
            </w:r>
            <w:r w:rsidRPr="00163D93">
              <w:rPr>
                <w:rFonts w:ascii="Arial" w:hAnsi="Arial" w:cs="Arial"/>
              </w:rPr>
              <w:t>or history of gout</w:t>
            </w:r>
            <w:r w:rsidR="00FF2445" w:rsidRPr="00163D93">
              <w:rPr>
                <w:rFonts w:ascii="Arial" w:hAnsi="Arial" w:cs="Arial"/>
              </w:rPr>
              <w:t xml:space="preserve"> </w:t>
            </w:r>
          </w:p>
          <w:p w14:paraId="589F2CCF" w14:textId="77777777" w:rsidR="005256FA" w:rsidRPr="005256FA" w:rsidRDefault="005256FA"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163D93">
              <w:rPr>
                <w:rFonts w:ascii="Arial" w:hAnsi="Arial" w:cs="Arial"/>
              </w:rPr>
              <w:t>K</w:t>
            </w:r>
            <w:r w:rsidRPr="005256FA">
              <w:rPr>
                <w:rFonts w:ascii="Arial" w:hAnsi="Arial" w:cs="Arial"/>
              </w:rPr>
              <w:t xml:space="preserve">nown history of decompensated liver disease or markers </w:t>
            </w:r>
            <w:r w:rsidRPr="005256FA">
              <w:rPr>
                <w:rFonts w:ascii="Arial" w:hAnsi="Arial" w:cs="Arial"/>
              </w:rPr>
              <w:lastRenderedPageBreak/>
              <w:t>suggestive of liver disease such as ascites and jaundice.</w:t>
            </w:r>
          </w:p>
          <w:p w14:paraId="6D86EE98" w14:textId="77777777" w:rsidR="00163D93" w:rsidRPr="00163D93" w:rsidRDefault="005256FA" w:rsidP="005A7498">
            <w:pPr>
              <w:numPr>
                <w:ilvl w:val="0"/>
                <w:numId w:val="17"/>
              </w:numPr>
              <w:spacing w:after="0" w:line="240" w:lineRule="auto"/>
              <w:ind w:left="357" w:hanging="357"/>
              <w:rPr>
                <w:rFonts w:ascii="Arial" w:hAnsi="Arial" w:cs="Arial"/>
              </w:rPr>
            </w:pPr>
            <w:r w:rsidRPr="003A61A3">
              <w:rPr>
                <w:rFonts w:ascii="Arial" w:hAnsi="Arial" w:cs="Arial"/>
              </w:rPr>
              <w:t>Severe renal impairment i.e. eGFR &lt; 30ml/min/1.73m</w:t>
            </w:r>
            <w:r w:rsidRPr="003A61A3">
              <w:rPr>
                <w:rFonts w:ascii="Arial" w:hAnsi="Arial" w:cs="Arial"/>
                <w:vertAlign w:val="superscript"/>
              </w:rPr>
              <w:t>2</w:t>
            </w:r>
            <w:r w:rsidR="00262BB2" w:rsidRPr="003A61A3">
              <w:t xml:space="preserve"> </w:t>
            </w:r>
          </w:p>
          <w:p w14:paraId="6C7C1E8C" w14:textId="77777777" w:rsidR="000555F3" w:rsidRPr="00CA3820" w:rsidRDefault="000555F3" w:rsidP="005A7498">
            <w:pPr>
              <w:pStyle w:val="TableParagraph"/>
              <w:numPr>
                <w:ilvl w:val="0"/>
                <w:numId w:val="17"/>
              </w:numPr>
              <w:spacing w:after="0" w:line="240" w:lineRule="auto"/>
              <w:ind w:left="357" w:hanging="357"/>
              <w:rPr>
                <w:rFonts w:ascii="Arial" w:hAnsi="Arial" w:cs="Arial"/>
              </w:rPr>
            </w:pPr>
            <w:r w:rsidRPr="00CA3820">
              <w:rPr>
                <w:rFonts w:ascii="Arial" w:hAnsi="Arial" w:cs="Arial"/>
              </w:rPr>
              <w:t xml:space="preserve">Individuals with rare hereditary problems of galactosaemia, galactose intolerance, total lactase deficiency, glucose-galactose malabsorption, sucrase-isomaltase deficiency, fructose-1,6-bisphosphatase deficiency (also known as hereditary fructose intolerance): check the individual list of excipients available in the </w:t>
            </w:r>
            <w:hyperlink r:id="rId15" w:history="1">
              <w:r w:rsidRPr="00CA3820">
                <w:rPr>
                  <w:rStyle w:val="Hyperlink"/>
                  <w:rFonts w:ascii="Arial" w:hAnsi="Arial" w:cs="Arial"/>
                </w:rPr>
                <w:t>SPC</w:t>
              </w:r>
            </w:hyperlink>
            <w:r w:rsidRPr="00CA3820">
              <w:rPr>
                <w:rFonts w:ascii="Arial" w:hAnsi="Arial" w:cs="Arial"/>
              </w:rPr>
              <w:t xml:space="preserve"> before supplying.</w:t>
            </w:r>
          </w:p>
          <w:p w14:paraId="70ACDF43" w14:textId="77777777" w:rsidR="000D7528" w:rsidRPr="0069351C" w:rsidRDefault="001C4B2C" w:rsidP="005A7498">
            <w:pPr>
              <w:widowControl w:val="0"/>
              <w:numPr>
                <w:ilvl w:val="0"/>
                <w:numId w:val="17"/>
              </w:numPr>
              <w:overflowPunct w:val="0"/>
              <w:autoSpaceDE w:val="0"/>
              <w:autoSpaceDN w:val="0"/>
              <w:adjustRightInd w:val="0"/>
              <w:spacing w:after="0" w:line="240" w:lineRule="auto"/>
              <w:ind w:left="357" w:hanging="357"/>
              <w:textAlignment w:val="baseline"/>
              <w:rPr>
                <w:rFonts w:ascii="Arial" w:hAnsi="Arial" w:cs="Arial"/>
              </w:rPr>
            </w:pPr>
            <w:r w:rsidRPr="00A03E4F">
              <w:rPr>
                <w:rFonts w:ascii="Arial" w:hAnsi="Arial" w:cs="Arial"/>
              </w:rPr>
              <w:t>Clinically significant drug interaction/s</w:t>
            </w:r>
            <w:r w:rsidR="005256FA" w:rsidRPr="00A03E4F">
              <w:rPr>
                <w:rFonts w:ascii="Arial" w:hAnsi="Arial" w:cs="Arial"/>
              </w:rPr>
              <w:t xml:space="preserve"> </w:t>
            </w:r>
            <w:r w:rsidR="000D7528" w:rsidRPr="00A03E4F">
              <w:rPr>
                <w:rFonts w:ascii="Arial" w:hAnsi="Arial" w:cs="Arial"/>
              </w:rPr>
              <w:t>–</w:t>
            </w:r>
            <w:r w:rsidR="000D7528" w:rsidRPr="0069351C">
              <w:rPr>
                <w:rFonts w:ascii="Arial" w:hAnsi="Arial" w:cs="Arial"/>
              </w:rPr>
              <w:t xml:space="preserve"> see</w:t>
            </w:r>
            <w:r w:rsidR="00163D93">
              <w:rPr>
                <w:rFonts w:ascii="Arial" w:hAnsi="Arial" w:cs="Arial"/>
              </w:rPr>
              <w:t xml:space="preserve"> relevant section of this PGD and also refer to</w:t>
            </w:r>
            <w:r w:rsidR="000D7528" w:rsidRPr="0069351C">
              <w:rPr>
                <w:rFonts w:ascii="Arial" w:hAnsi="Arial" w:cs="Arial"/>
              </w:rPr>
              <w:t xml:space="preserve"> current British National Formulary (BNF) </w:t>
            </w:r>
            <w:hyperlink r:id="rId16" w:history="1">
              <w:r w:rsidR="000D7528" w:rsidRPr="0069351C">
                <w:rPr>
                  <w:rFonts w:ascii="Arial" w:hAnsi="Arial" w:cs="Arial"/>
                  <w:color w:val="0000FF"/>
                  <w:u w:val="single"/>
                </w:rPr>
                <w:t>www.bnf.org</w:t>
              </w:r>
            </w:hyperlink>
            <w:r w:rsidR="000D7528" w:rsidRPr="0069351C">
              <w:rPr>
                <w:rFonts w:ascii="Arial" w:hAnsi="Arial" w:cs="Arial"/>
                <w:u w:val="single"/>
              </w:rPr>
              <w:t xml:space="preserve"> </w:t>
            </w:r>
            <w:r w:rsidR="000D7528" w:rsidRPr="0069351C">
              <w:rPr>
                <w:rFonts w:ascii="Arial" w:hAnsi="Arial" w:cs="Arial"/>
              </w:rPr>
              <w:t xml:space="preserve">or individual product SPC </w:t>
            </w:r>
            <w:hyperlink r:id="rId17" w:history="1">
              <w:r w:rsidR="000D7528" w:rsidRPr="0069351C">
                <w:rPr>
                  <w:rFonts w:ascii="Arial" w:hAnsi="Arial" w:cs="Arial"/>
                  <w:color w:val="0000FF"/>
                  <w:u w:val="single"/>
                </w:rPr>
                <w:t>http://www.medicines.org.uk</w:t>
              </w:r>
            </w:hyperlink>
          </w:p>
        </w:tc>
      </w:tr>
      <w:tr w:rsidR="00FC18B8" w:rsidRPr="000D7528" w14:paraId="6BE6F2B5" w14:textId="77777777" w:rsidTr="003317CA">
        <w:trPr>
          <w:trHeight w:val="269"/>
        </w:trPr>
        <w:tc>
          <w:tcPr>
            <w:tcW w:w="3403" w:type="dxa"/>
            <w:shd w:val="clear" w:color="auto" w:fill="D9D9D9"/>
          </w:tcPr>
          <w:p w14:paraId="54130501" w14:textId="77777777" w:rsidR="00FC18B8" w:rsidRPr="000D7528" w:rsidRDefault="00FC18B8" w:rsidP="00FC18B8">
            <w:pPr>
              <w:overflowPunct w:val="0"/>
              <w:autoSpaceDE w:val="0"/>
              <w:autoSpaceDN w:val="0"/>
              <w:adjustRightInd w:val="0"/>
              <w:spacing w:before="60" w:after="60"/>
              <w:textAlignment w:val="baseline"/>
              <w:rPr>
                <w:rFonts w:ascii="Arial" w:hAnsi="Arial" w:cs="Arial"/>
                <w:b/>
              </w:rPr>
            </w:pPr>
            <w:r w:rsidRPr="000D7528">
              <w:rPr>
                <w:rFonts w:ascii="Arial" w:hAnsi="Arial" w:cs="Arial"/>
                <w:b/>
              </w:rPr>
              <w:lastRenderedPageBreak/>
              <w:t>Cautions including any relevant action to be taken</w:t>
            </w:r>
          </w:p>
        </w:tc>
        <w:tc>
          <w:tcPr>
            <w:tcW w:w="6379" w:type="dxa"/>
            <w:shd w:val="clear" w:color="auto" w:fill="auto"/>
          </w:tcPr>
          <w:p w14:paraId="78B3E5CE" w14:textId="77777777" w:rsidR="009F44F6" w:rsidRPr="009F44F6" w:rsidRDefault="009F44F6" w:rsidP="005A7498">
            <w:pPr>
              <w:numPr>
                <w:ilvl w:val="0"/>
                <w:numId w:val="22"/>
              </w:numPr>
              <w:spacing w:after="0" w:line="240" w:lineRule="auto"/>
              <w:ind w:left="357" w:hanging="357"/>
              <w:rPr>
                <w:rFonts w:ascii="Arial" w:hAnsi="Arial" w:cs="Arial"/>
                <w:szCs w:val="20"/>
              </w:rPr>
            </w:pPr>
            <w:r w:rsidRPr="009F44F6">
              <w:rPr>
                <w:rFonts w:ascii="Arial" w:hAnsi="Arial" w:cs="Arial"/>
                <w:szCs w:val="20"/>
              </w:rPr>
              <w:t xml:space="preserve">Current uncontrolled or severe asthma – if any doubt discuss with specialist clinician before initiating </w:t>
            </w:r>
          </w:p>
          <w:p w14:paraId="28840600" w14:textId="77777777" w:rsidR="00FC18B8" w:rsidRPr="005256FA" w:rsidRDefault="00FC18B8" w:rsidP="005A7498">
            <w:pPr>
              <w:numPr>
                <w:ilvl w:val="0"/>
                <w:numId w:val="22"/>
              </w:numPr>
              <w:overflowPunct w:val="0"/>
              <w:autoSpaceDE w:val="0"/>
              <w:autoSpaceDN w:val="0"/>
              <w:adjustRightInd w:val="0"/>
              <w:spacing w:after="0" w:line="240" w:lineRule="auto"/>
              <w:ind w:left="357" w:hanging="357"/>
              <w:textAlignment w:val="baseline"/>
              <w:rPr>
                <w:rFonts w:ascii="Arial" w:hAnsi="Arial" w:cs="Arial"/>
                <w:szCs w:val="20"/>
              </w:rPr>
            </w:pPr>
            <w:r w:rsidRPr="000D7528">
              <w:rPr>
                <w:rFonts w:ascii="Arial" w:hAnsi="Arial" w:cs="Arial"/>
              </w:rPr>
              <w:t>Discuss with appropriate medical/independent non-medical prescriber any medical condition or</w:t>
            </w:r>
            <w:r w:rsidR="001C4B2C">
              <w:rPr>
                <w:rFonts w:ascii="Arial" w:hAnsi="Arial" w:cs="Arial"/>
              </w:rPr>
              <w:t xml:space="preserve"> drug</w:t>
            </w:r>
            <w:r w:rsidRPr="000D7528">
              <w:rPr>
                <w:rFonts w:ascii="Arial" w:hAnsi="Arial" w:cs="Arial"/>
              </w:rPr>
              <w:t xml:space="preserve"> </w:t>
            </w:r>
            <w:r>
              <w:rPr>
                <w:rFonts w:ascii="Arial" w:hAnsi="Arial" w:cs="Arial"/>
              </w:rPr>
              <w:t xml:space="preserve">interaction </w:t>
            </w:r>
            <w:r w:rsidRPr="000D7528">
              <w:rPr>
                <w:rFonts w:ascii="Arial" w:hAnsi="Arial" w:cs="Arial"/>
              </w:rPr>
              <w:t>of which the healthcare professional is unsure or uncertain.</w:t>
            </w:r>
          </w:p>
        </w:tc>
      </w:tr>
      <w:tr w:rsidR="000D7528" w:rsidRPr="000D7528" w14:paraId="167C676F" w14:textId="77777777" w:rsidTr="003317CA">
        <w:trPr>
          <w:trHeight w:val="1445"/>
        </w:trPr>
        <w:tc>
          <w:tcPr>
            <w:tcW w:w="3403" w:type="dxa"/>
            <w:shd w:val="clear" w:color="auto" w:fill="D9D9D9"/>
          </w:tcPr>
          <w:p w14:paraId="15F9F940" w14:textId="77777777" w:rsidR="000D7528" w:rsidRPr="000D7528" w:rsidRDefault="000D7528" w:rsidP="000D7528">
            <w:pPr>
              <w:overflowPunct w:val="0"/>
              <w:autoSpaceDE w:val="0"/>
              <w:autoSpaceDN w:val="0"/>
              <w:adjustRightInd w:val="0"/>
              <w:spacing w:before="60" w:after="60"/>
              <w:textAlignment w:val="baseline"/>
              <w:rPr>
                <w:rFonts w:ascii="Arial" w:hAnsi="Arial" w:cs="Arial"/>
              </w:rPr>
            </w:pPr>
            <w:r w:rsidRPr="000D7528">
              <w:rPr>
                <w:rFonts w:ascii="Arial" w:hAnsi="Arial" w:cs="Arial"/>
                <w:b/>
              </w:rPr>
              <w:t xml:space="preserve">Action to be taken if the individual is excluded or declines treatment </w:t>
            </w:r>
          </w:p>
        </w:tc>
        <w:tc>
          <w:tcPr>
            <w:tcW w:w="6379" w:type="dxa"/>
            <w:shd w:val="clear" w:color="auto" w:fill="auto"/>
          </w:tcPr>
          <w:p w14:paraId="31DBCA84" w14:textId="77777777" w:rsidR="000D7528" w:rsidRPr="000D7528" w:rsidRDefault="000D7528" w:rsidP="005A7498">
            <w:pPr>
              <w:widowControl w:val="0"/>
              <w:numPr>
                <w:ilvl w:val="0"/>
                <w:numId w:val="14"/>
              </w:numPr>
              <w:overflowPunct w:val="0"/>
              <w:autoSpaceDE w:val="0"/>
              <w:autoSpaceDN w:val="0"/>
              <w:adjustRightInd w:val="0"/>
              <w:spacing w:after="0" w:line="240" w:lineRule="auto"/>
              <w:ind w:left="357" w:hanging="357"/>
              <w:textAlignment w:val="baseline"/>
              <w:rPr>
                <w:rFonts w:ascii="Arial" w:hAnsi="Arial" w:cs="Arial"/>
              </w:rPr>
            </w:pPr>
            <w:r w:rsidRPr="000D7528">
              <w:rPr>
                <w:rFonts w:ascii="Arial" w:hAnsi="Arial" w:cs="Arial"/>
              </w:rPr>
              <w:t>Explain the reasons for exclusion to the individual and document in the consultation record.</w:t>
            </w:r>
          </w:p>
          <w:p w14:paraId="57F5019E" w14:textId="77777777" w:rsidR="000D7528" w:rsidRPr="000D7528" w:rsidRDefault="000D7528" w:rsidP="005A7498">
            <w:pPr>
              <w:widowControl w:val="0"/>
              <w:numPr>
                <w:ilvl w:val="0"/>
                <w:numId w:val="14"/>
              </w:numPr>
              <w:overflowPunct w:val="0"/>
              <w:autoSpaceDE w:val="0"/>
              <w:autoSpaceDN w:val="0"/>
              <w:adjustRightInd w:val="0"/>
              <w:spacing w:after="0" w:line="240" w:lineRule="auto"/>
              <w:ind w:left="357" w:hanging="357"/>
              <w:textAlignment w:val="baseline"/>
              <w:rPr>
                <w:rFonts w:ascii="Arial" w:hAnsi="Arial" w:cs="Arial"/>
              </w:rPr>
            </w:pPr>
            <w:r w:rsidRPr="000D7528">
              <w:rPr>
                <w:rFonts w:ascii="Arial" w:hAnsi="Arial" w:cs="Arial"/>
              </w:rPr>
              <w:t>Record reason for decline in the consultation record.</w:t>
            </w:r>
          </w:p>
          <w:p w14:paraId="6D4BF82A" w14:textId="77777777" w:rsidR="000D7528" w:rsidRPr="000D7528" w:rsidRDefault="000D7528" w:rsidP="005A7498">
            <w:pPr>
              <w:numPr>
                <w:ilvl w:val="0"/>
                <w:numId w:val="14"/>
              </w:numPr>
              <w:overflowPunct w:val="0"/>
              <w:autoSpaceDE w:val="0"/>
              <w:autoSpaceDN w:val="0"/>
              <w:adjustRightInd w:val="0"/>
              <w:spacing w:after="0" w:line="240" w:lineRule="auto"/>
              <w:ind w:left="357" w:hanging="357"/>
              <w:contextualSpacing/>
              <w:textAlignment w:val="baseline"/>
              <w:rPr>
                <w:rFonts w:ascii="Arial" w:hAnsi="Arial" w:cs="Arial"/>
              </w:rPr>
            </w:pPr>
            <w:r w:rsidRPr="000D7528">
              <w:rPr>
                <w:rFonts w:ascii="Arial" w:hAnsi="Arial" w:cs="Arial"/>
              </w:rPr>
              <w:t>Where required refer the individual to a suitable health service provider if appropriate and/or provide them with information about further options.</w:t>
            </w:r>
          </w:p>
        </w:tc>
      </w:tr>
    </w:tbl>
    <w:p w14:paraId="3D98D0AF" w14:textId="77777777" w:rsidR="00700944" w:rsidRDefault="00700944" w:rsidP="00D10926">
      <w:pPr>
        <w:jc w:val="center"/>
        <w:rPr>
          <w:rFonts w:ascii="Arial" w:hAnsi="Arial" w:cs="Arial"/>
          <w:b/>
        </w:rPr>
      </w:pPr>
    </w:p>
    <w:p w14:paraId="2A8AAEBB" w14:textId="77777777" w:rsidR="00D10926" w:rsidRDefault="00D10926" w:rsidP="00E24288">
      <w:pPr>
        <w:numPr>
          <w:ilvl w:val="0"/>
          <w:numId w:val="21"/>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Description of treatment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6379"/>
      </w:tblGrid>
      <w:tr w:rsidR="000D7528" w:rsidRPr="000D7528" w14:paraId="14FC4A7E" w14:textId="77777777" w:rsidTr="003317CA">
        <w:tc>
          <w:tcPr>
            <w:tcW w:w="3403" w:type="dxa"/>
            <w:shd w:val="clear" w:color="auto" w:fill="D9D9D9"/>
          </w:tcPr>
          <w:p w14:paraId="20F29298"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Name, strength &amp; formulation of drug</w:t>
            </w:r>
          </w:p>
        </w:tc>
        <w:tc>
          <w:tcPr>
            <w:tcW w:w="6379" w:type="dxa"/>
            <w:tcBorders>
              <w:top w:val="single" w:sz="4" w:space="0" w:color="auto"/>
              <w:left w:val="single" w:sz="4" w:space="0" w:color="auto"/>
              <w:bottom w:val="single" w:sz="4" w:space="0" w:color="auto"/>
              <w:right w:val="single" w:sz="4" w:space="0" w:color="auto"/>
            </w:tcBorders>
          </w:tcPr>
          <w:p w14:paraId="14EE8B4B" w14:textId="77777777" w:rsidR="000D7528" w:rsidRPr="003A61A3" w:rsidRDefault="00262BB2" w:rsidP="005A7498">
            <w:pPr>
              <w:numPr>
                <w:ilvl w:val="0"/>
                <w:numId w:val="30"/>
              </w:numPr>
              <w:overflowPunct w:val="0"/>
              <w:autoSpaceDE w:val="0"/>
              <w:autoSpaceDN w:val="0"/>
              <w:adjustRightInd w:val="0"/>
              <w:spacing w:after="0" w:line="240" w:lineRule="auto"/>
              <w:ind w:left="0"/>
              <w:contextualSpacing/>
              <w:textAlignment w:val="baseline"/>
              <w:rPr>
                <w:rFonts w:ascii="Arial" w:hAnsi="Arial" w:cs="Arial"/>
                <w:szCs w:val="20"/>
                <w:highlight w:val="cyan"/>
              </w:rPr>
            </w:pPr>
            <w:r w:rsidRPr="003A61A3">
              <w:rPr>
                <w:rFonts w:ascii="Arial" w:hAnsi="Arial" w:cs="Arial"/>
                <w:szCs w:val="20"/>
                <w:highlight w:val="cyan"/>
              </w:rPr>
              <w:t>Aspirin 75mg dispersible tablets</w:t>
            </w:r>
          </w:p>
          <w:p w14:paraId="1E6266F5" w14:textId="77777777" w:rsidR="00262BB2" w:rsidRDefault="00262BB2" w:rsidP="005A7498">
            <w:pPr>
              <w:numPr>
                <w:ilvl w:val="0"/>
                <w:numId w:val="30"/>
              </w:numPr>
              <w:overflowPunct w:val="0"/>
              <w:autoSpaceDE w:val="0"/>
              <w:autoSpaceDN w:val="0"/>
              <w:adjustRightInd w:val="0"/>
              <w:spacing w:after="0" w:line="240" w:lineRule="auto"/>
              <w:ind w:left="0"/>
              <w:contextualSpacing/>
              <w:textAlignment w:val="baseline"/>
              <w:rPr>
                <w:rFonts w:ascii="Arial" w:hAnsi="Arial" w:cs="Arial"/>
                <w:szCs w:val="20"/>
                <w:highlight w:val="cyan"/>
              </w:rPr>
            </w:pPr>
            <w:r w:rsidRPr="003A61A3">
              <w:rPr>
                <w:rFonts w:ascii="Arial" w:hAnsi="Arial" w:cs="Arial"/>
                <w:szCs w:val="20"/>
                <w:highlight w:val="cyan"/>
              </w:rPr>
              <w:t>Aspirin 75mg tablets</w:t>
            </w:r>
          </w:p>
          <w:p w14:paraId="40148D03" w14:textId="77777777" w:rsidR="00262BB2" w:rsidRDefault="00163D93" w:rsidP="005A7498">
            <w:pPr>
              <w:numPr>
                <w:ilvl w:val="0"/>
                <w:numId w:val="30"/>
              </w:numPr>
              <w:overflowPunct w:val="0"/>
              <w:autoSpaceDE w:val="0"/>
              <w:autoSpaceDN w:val="0"/>
              <w:adjustRightInd w:val="0"/>
              <w:spacing w:after="0" w:line="240" w:lineRule="auto"/>
              <w:ind w:left="0"/>
              <w:contextualSpacing/>
              <w:textAlignment w:val="baseline"/>
              <w:rPr>
                <w:rFonts w:ascii="Arial" w:hAnsi="Arial" w:cs="Arial"/>
                <w:szCs w:val="20"/>
                <w:highlight w:val="cyan"/>
              </w:rPr>
            </w:pPr>
            <w:r>
              <w:rPr>
                <w:rFonts w:ascii="Arial" w:hAnsi="Arial" w:cs="Arial"/>
                <w:szCs w:val="20"/>
                <w:highlight w:val="cyan"/>
              </w:rPr>
              <w:t>Aspirin 75mg enteric coated tablets</w:t>
            </w:r>
          </w:p>
          <w:p w14:paraId="6F7274EB" w14:textId="77777777" w:rsidR="00163D93" w:rsidRPr="00163D93" w:rsidRDefault="00163D93" w:rsidP="005A7498">
            <w:pPr>
              <w:overflowPunct w:val="0"/>
              <w:autoSpaceDE w:val="0"/>
              <w:autoSpaceDN w:val="0"/>
              <w:adjustRightInd w:val="0"/>
              <w:spacing w:after="0" w:line="240" w:lineRule="auto"/>
              <w:contextualSpacing/>
              <w:textAlignment w:val="baseline"/>
              <w:rPr>
                <w:rFonts w:ascii="Arial" w:hAnsi="Arial" w:cs="Arial"/>
                <w:szCs w:val="20"/>
                <w:highlight w:val="cyan"/>
              </w:rPr>
            </w:pPr>
            <w:r>
              <w:rPr>
                <w:rFonts w:ascii="Arial" w:hAnsi="Arial" w:cs="Arial"/>
                <w:szCs w:val="20"/>
                <w:highlight w:val="cyan"/>
              </w:rPr>
              <w:t>Amend locally to reflect formulation supplied</w:t>
            </w:r>
          </w:p>
        </w:tc>
      </w:tr>
      <w:tr w:rsidR="000D7528" w:rsidRPr="000D7528" w14:paraId="431DD922" w14:textId="77777777" w:rsidTr="003317CA">
        <w:tc>
          <w:tcPr>
            <w:tcW w:w="3403" w:type="dxa"/>
            <w:shd w:val="clear" w:color="auto" w:fill="D9D9D9"/>
          </w:tcPr>
          <w:p w14:paraId="2DC285A3"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Legal category</w:t>
            </w:r>
          </w:p>
        </w:tc>
        <w:tc>
          <w:tcPr>
            <w:tcW w:w="6379" w:type="dxa"/>
          </w:tcPr>
          <w:p w14:paraId="1A8D8B18" w14:textId="77777777" w:rsidR="000D7528" w:rsidRPr="000D7528" w:rsidRDefault="000D7528" w:rsidP="005A7498">
            <w:pPr>
              <w:overflowPunct w:val="0"/>
              <w:autoSpaceDE w:val="0"/>
              <w:autoSpaceDN w:val="0"/>
              <w:adjustRightInd w:val="0"/>
              <w:spacing w:after="0" w:line="240" w:lineRule="auto"/>
              <w:textAlignment w:val="baseline"/>
              <w:rPr>
                <w:rFonts w:ascii="Arial" w:hAnsi="Arial" w:cs="Arial"/>
              </w:rPr>
            </w:pPr>
            <w:r w:rsidRPr="00163D93">
              <w:rPr>
                <w:rFonts w:ascii="Arial" w:hAnsi="Arial" w:cs="Arial"/>
                <w:highlight w:val="cyan"/>
              </w:rPr>
              <w:t>POM</w:t>
            </w:r>
            <w:r w:rsidR="005256FA" w:rsidRPr="00163D93">
              <w:rPr>
                <w:rFonts w:ascii="Arial" w:hAnsi="Arial" w:cs="Arial"/>
                <w:highlight w:val="cyan"/>
              </w:rPr>
              <w:t>/P</w:t>
            </w:r>
            <w:r w:rsidR="00163D93" w:rsidRPr="00163D93">
              <w:rPr>
                <w:rFonts w:ascii="Arial" w:hAnsi="Arial" w:cs="Arial"/>
                <w:highlight w:val="cyan"/>
              </w:rPr>
              <w:t xml:space="preserve"> (legal status dependent of formulation and pack size supplied</w:t>
            </w:r>
            <w:r w:rsidR="00163D93">
              <w:rPr>
                <w:rFonts w:ascii="Arial" w:hAnsi="Arial" w:cs="Arial"/>
                <w:highlight w:val="cyan"/>
              </w:rPr>
              <w:t xml:space="preserve"> – amend locally to reflect formulation supplied</w:t>
            </w:r>
            <w:r w:rsidR="00163D93" w:rsidRPr="00163D93">
              <w:rPr>
                <w:rFonts w:ascii="Arial" w:hAnsi="Arial" w:cs="Arial"/>
                <w:highlight w:val="cyan"/>
              </w:rPr>
              <w:t>)</w:t>
            </w:r>
          </w:p>
        </w:tc>
      </w:tr>
      <w:tr w:rsidR="000D7528" w:rsidRPr="000D7528" w14:paraId="2429895E" w14:textId="77777777" w:rsidTr="003317CA">
        <w:tc>
          <w:tcPr>
            <w:tcW w:w="3403" w:type="dxa"/>
            <w:shd w:val="clear" w:color="auto" w:fill="D9D9D9"/>
          </w:tcPr>
          <w:p w14:paraId="6B1FB6C7"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Route of administration</w:t>
            </w:r>
          </w:p>
        </w:tc>
        <w:tc>
          <w:tcPr>
            <w:tcW w:w="6379" w:type="dxa"/>
          </w:tcPr>
          <w:p w14:paraId="3AB3F0CC" w14:textId="77777777" w:rsidR="000D7528" w:rsidRPr="000D7528" w:rsidRDefault="000D7528" w:rsidP="005A7498">
            <w:pPr>
              <w:overflowPunct w:val="0"/>
              <w:autoSpaceDE w:val="0"/>
              <w:autoSpaceDN w:val="0"/>
              <w:adjustRightInd w:val="0"/>
              <w:spacing w:after="0" w:line="240" w:lineRule="auto"/>
              <w:textAlignment w:val="baseline"/>
              <w:rPr>
                <w:rFonts w:ascii="Arial" w:hAnsi="Arial" w:cs="Arial"/>
                <w:spacing w:val="-2"/>
              </w:rPr>
            </w:pPr>
            <w:r w:rsidRPr="000D7528">
              <w:rPr>
                <w:rFonts w:ascii="Arial" w:hAnsi="Arial" w:cs="Arial"/>
                <w:spacing w:val="-2"/>
              </w:rPr>
              <w:t>Oral</w:t>
            </w:r>
          </w:p>
        </w:tc>
      </w:tr>
      <w:tr w:rsidR="000D7528" w:rsidRPr="000D7528" w14:paraId="0113F631" w14:textId="77777777" w:rsidTr="003317CA">
        <w:tc>
          <w:tcPr>
            <w:tcW w:w="3403" w:type="dxa"/>
            <w:shd w:val="clear" w:color="auto" w:fill="D9D9D9"/>
          </w:tcPr>
          <w:p w14:paraId="6887AB05" w14:textId="77777777" w:rsidR="000D7528" w:rsidRPr="000D7528" w:rsidRDefault="000D7528" w:rsidP="000D7528">
            <w:pPr>
              <w:overflowPunct w:val="0"/>
              <w:autoSpaceDE w:val="0"/>
              <w:autoSpaceDN w:val="0"/>
              <w:adjustRightInd w:val="0"/>
              <w:spacing w:before="60" w:after="60"/>
              <w:contextualSpacing/>
              <w:textAlignment w:val="baseline"/>
              <w:rPr>
                <w:rFonts w:ascii="Arial" w:hAnsi="Arial" w:cs="Arial"/>
                <w:b/>
              </w:rPr>
            </w:pPr>
            <w:r w:rsidRPr="000D7528">
              <w:rPr>
                <w:rFonts w:ascii="Arial" w:hAnsi="Arial" w:cs="Arial"/>
                <w:b/>
              </w:rPr>
              <w:t>Off label use</w:t>
            </w:r>
          </w:p>
        </w:tc>
        <w:tc>
          <w:tcPr>
            <w:tcW w:w="6379" w:type="dxa"/>
          </w:tcPr>
          <w:p w14:paraId="37B8D0C8"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 xml:space="preserve">Best practice advice is given by the </w:t>
            </w:r>
            <w:r w:rsidR="005256FA" w:rsidRPr="003A61A3">
              <w:rPr>
                <w:rFonts w:ascii="Arial" w:hAnsi="Arial" w:cs="Arial"/>
              </w:rPr>
              <w:t xml:space="preserve">RCOG and NICE </w:t>
            </w:r>
            <w:r w:rsidRPr="003A61A3">
              <w:rPr>
                <w:rFonts w:ascii="Arial" w:hAnsi="Arial" w:cs="Arial"/>
              </w:rPr>
              <w:t>and is used for guidance in this PGD and may vary from the Summary of Product Characteristics (SPC).</w:t>
            </w:r>
          </w:p>
          <w:p w14:paraId="482E6D0F"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p>
          <w:p w14:paraId="381AC193"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This PGD includes inclusion criteria, exclusion criteria and dosage regimens which are outside the market authorisation for many of the available products</w:t>
            </w:r>
            <w:r w:rsidR="005256FA" w:rsidRPr="003A61A3">
              <w:rPr>
                <w:rFonts w:ascii="Arial" w:hAnsi="Arial" w:cs="Arial"/>
              </w:rPr>
              <w:t>.</w:t>
            </w:r>
          </w:p>
          <w:p w14:paraId="7580F82B"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p>
          <w:p w14:paraId="6FBD8CAB"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w:t>
            </w:r>
            <w:r w:rsidRPr="003A61A3">
              <w:rPr>
                <w:rFonts w:ascii="Arial" w:hAnsi="Arial" w:cs="Arial"/>
              </w:rPr>
              <w:lastRenderedPageBreak/>
              <w:t>or specific product recommendations as appropriate for continued use this would constitute off-label administration under this PGD. The responsibility for the decision to release the affected medicines for use lies with pharmacy/Medicines Management.</w:t>
            </w:r>
            <w:r w:rsidRPr="003A61A3">
              <w:rPr>
                <w:rFonts w:ascii="Arial" w:hAnsi="Arial"/>
                <w:szCs w:val="20"/>
              </w:rPr>
              <w:t xml:space="preserve"> </w:t>
            </w:r>
          </w:p>
          <w:p w14:paraId="55CA707C" w14:textId="77777777" w:rsidR="000D7528" w:rsidRPr="003A61A3" w:rsidRDefault="000D7528" w:rsidP="005A7498">
            <w:pPr>
              <w:overflowPunct w:val="0"/>
              <w:autoSpaceDE w:val="0"/>
              <w:autoSpaceDN w:val="0"/>
              <w:adjustRightInd w:val="0"/>
              <w:spacing w:after="0" w:line="240" w:lineRule="auto"/>
              <w:textAlignment w:val="baseline"/>
              <w:rPr>
                <w:rFonts w:ascii="Arial" w:hAnsi="Arial" w:cs="Arial"/>
              </w:rPr>
            </w:pPr>
          </w:p>
          <w:p w14:paraId="524A2255" w14:textId="77777777" w:rsidR="003A61A3" w:rsidRPr="00AE7378" w:rsidRDefault="000D7528" w:rsidP="005A7498">
            <w:pPr>
              <w:overflowPunct w:val="0"/>
              <w:autoSpaceDE w:val="0"/>
              <w:autoSpaceDN w:val="0"/>
              <w:adjustRightInd w:val="0"/>
              <w:spacing w:after="0" w:line="240" w:lineRule="auto"/>
              <w:textAlignment w:val="baseline"/>
              <w:rPr>
                <w:rFonts w:ascii="Arial" w:hAnsi="Arial" w:cs="Arial"/>
              </w:rPr>
            </w:pPr>
            <w:r w:rsidRPr="003A61A3">
              <w:rPr>
                <w:rFonts w:ascii="Arial" w:hAnsi="Arial" w:cs="Arial"/>
              </w:rPr>
              <w:t>Where a medicine is recommended off-label consider, as part of the consent process, informing the individual/parent/carer that the medicine is being offered in accordance with national guidance but that this is outside the product licence.</w:t>
            </w:r>
          </w:p>
        </w:tc>
      </w:tr>
      <w:tr w:rsidR="000D7528" w:rsidRPr="000D7528" w14:paraId="680B9988" w14:textId="77777777" w:rsidTr="003317CA">
        <w:tc>
          <w:tcPr>
            <w:tcW w:w="3403" w:type="dxa"/>
            <w:shd w:val="clear" w:color="auto" w:fill="D9D9D9"/>
          </w:tcPr>
          <w:p w14:paraId="75D86B12" w14:textId="77777777" w:rsidR="000D7528" w:rsidRPr="000D7528" w:rsidRDefault="000D7528" w:rsidP="000D7528">
            <w:pPr>
              <w:overflowPunct w:val="0"/>
              <w:autoSpaceDE w:val="0"/>
              <w:autoSpaceDN w:val="0"/>
              <w:adjustRightInd w:val="0"/>
              <w:spacing w:before="60" w:after="60"/>
              <w:contextualSpacing/>
              <w:textAlignment w:val="baseline"/>
              <w:rPr>
                <w:rFonts w:ascii="Arial" w:hAnsi="Arial" w:cs="Arial"/>
                <w:b/>
              </w:rPr>
            </w:pPr>
            <w:r w:rsidRPr="000D7528">
              <w:rPr>
                <w:rFonts w:ascii="Arial" w:hAnsi="Arial" w:cs="Arial"/>
                <w:b/>
              </w:rPr>
              <w:lastRenderedPageBreak/>
              <w:t>Dose and frequency of administration</w:t>
            </w:r>
          </w:p>
        </w:tc>
        <w:tc>
          <w:tcPr>
            <w:tcW w:w="6379" w:type="dxa"/>
          </w:tcPr>
          <w:p w14:paraId="0A90975E" w14:textId="77777777" w:rsidR="000D7528" w:rsidRPr="00262BB2" w:rsidRDefault="00FC18B8" w:rsidP="005A7498">
            <w:pPr>
              <w:overflowPunct w:val="0"/>
              <w:autoSpaceDE w:val="0"/>
              <w:autoSpaceDN w:val="0"/>
              <w:adjustRightInd w:val="0"/>
              <w:spacing w:after="0" w:line="240" w:lineRule="auto"/>
              <w:contextualSpacing/>
              <w:textAlignment w:val="baseline"/>
              <w:rPr>
                <w:rFonts w:ascii="Arial" w:hAnsi="Arial" w:cs="Arial"/>
              </w:rPr>
            </w:pPr>
            <w:r w:rsidRPr="00FC18B8">
              <w:rPr>
                <w:rFonts w:ascii="Arial" w:hAnsi="Arial" w:cs="Arial"/>
                <w:highlight w:val="cyan"/>
              </w:rPr>
              <w:t>75mg/</w:t>
            </w:r>
            <w:r w:rsidR="00262BB2" w:rsidRPr="00FC18B8">
              <w:rPr>
                <w:rFonts w:ascii="Arial" w:hAnsi="Arial" w:cs="Arial"/>
                <w:highlight w:val="cyan"/>
              </w:rPr>
              <w:t xml:space="preserve">150mg once daily </w:t>
            </w:r>
            <w:r w:rsidRPr="00FC18B8">
              <w:rPr>
                <w:rFonts w:ascii="Arial" w:hAnsi="Arial" w:cs="Arial"/>
                <w:highlight w:val="cyan"/>
              </w:rPr>
              <w:t>(</w:t>
            </w:r>
            <w:r w:rsidR="00AD2CF2" w:rsidRPr="00AD2CF2">
              <w:rPr>
                <w:rFonts w:ascii="Arial" w:hAnsi="Arial" w:cs="Arial"/>
                <w:highlight w:val="cyan"/>
              </w:rPr>
              <w:t>delete as applicable to reflect dosing recommendations of local policy</w:t>
            </w:r>
            <w:r w:rsidRPr="00FC18B8">
              <w:rPr>
                <w:rFonts w:ascii="Arial" w:hAnsi="Arial" w:cs="Arial"/>
                <w:highlight w:val="cyan"/>
              </w:rPr>
              <w:t>)</w:t>
            </w:r>
          </w:p>
        </w:tc>
      </w:tr>
      <w:tr w:rsidR="000D7528" w:rsidRPr="000D7528" w14:paraId="3EC614B7" w14:textId="77777777" w:rsidTr="003317CA">
        <w:tc>
          <w:tcPr>
            <w:tcW w:w="3403" w:type="dxa"/>
            <w:shd w:val="clear" w:color="auto" w:fill="D9D9D9"/>
          </w:tcPr>
          <w:p w14:paraId="200DF2F0"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Duration of treatment</w:t>
            </w:r>
          </w:p>
        </w:tc>
        <w:tc>
          <w:tcPr>
            <w:tcW w:w="6379" w:type="dxa"/>
          </w:tcPr>
          <w:p w14:paraId="522DB6AE" w14:textId="77777777" w:rsidR="000D7528" w:rsidRPr="00262BB2" w:rsidRDefault="00B94499" w:rsidP="005A7498">
            <w:pPr>
              <w:overflowPunct w:val="0"/>
              <w:autoSpaceDE w:val="0"/>
              <w:autoSpaceDN w:val="0"/>
              <w:adjustRightInd w:val="0"/>
              <w:spacing w:after="0" w:line="240" w:lineRule="auto"/>
              <w:contextualSpacing/>
              <w:textAlignment w:val="baseline"/>
              <w:rPr>
                <w:rFonts w:ascii="Arial" w:hAnsi="Arial" w:cs="Arial"/>
              </w:rPr>
            </w:pPr>
            <w:r w:rsidRPr="00A03E4F">
              <w:rPr>
                <w:rFonts w:ascii="Arial" w:hAnsi="Arial" w:cs="Arial"/>
                <w:highlight w:val="cyan"/>
              </w:rPr>
              <w:t xml:space="preserve">From 12 weeks of pregnancy to 36 </w:t>
            </w:r>
            <w:r w:rsidRPr="00FC18B8">
              <w:rPr>
                <w:rFonts w:ascii="Arial" w:hAnsi="Arial" w:cs="Arial"/>
                <w:highlight w:val="cyan"/>
              </w:rPr>
              <w:t>weeks/delivery (delete as applicable to local policy)</w:t>
            </w:r>
          </w:p>
        </w:tc>
      </w:tr>
      <w:tr w:rsidR="000D7528" w:rsidRPr="000D7528" w14:paraId="555A8070" w14:textId="77777777" w:rsidTr="003317CA">
        <w:tc>
          <w:tcPr>
            <w:tcW w:w="3403" w:type="dxa"/>
            <w:shd w:val="clear" w:color="auto" w:fill="D9D9D9"/>
          </w:tcPr>
          <w:p w14:paraId="501592B6"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 xml:space="preserve">Quantity to be supplied </w:t>
            </w:r>
          </w:p>
        </w:tc>
        <w:tc>
          <w:tcPr>
            <w:tcW w:w="6379" w:type="dxa"/>
          </w:tcPr>
          <w:p w14:paraId="66AA2EF9" w14:textId="77777777" w:rsidR="00FF2445" w:rsidRDefault="00262BB2" w:rsidP="005A7498">
            <w:pPr>
              <w:numPr>
                <w:ilvl w:val="0"/>
                <w:numId w:val="30"/>
              </w:numPr>
              <w:overflowPunct w:val="0"/>
              <w:autoSpaceDE w:val="0"/>
              <w:autoSpaceDN w:val="0"/>
              <w:adjustRightInd w:val="0"/>
              <w:spacing w:after="0" w:line="240" w:lineRule="auto"/>
              <w:contextualSpacing/>
              <w:textAlignment w:val="baseline"/>
              <w:rPr>
                <w:rFonts w:ascii="Arial" w:hAnsi="Arial" w:cs="Arial"/>
                <w:highlight w:val="cyan"/>
              </w:rPr>
            </w:pPr>
            <w:r w:rsidRPr="00262BB2">
              <w:rPr>
                <w:rFonts w:ascii="Arial" w:hAnsi="Arial" w:cs="Arial"/>
                <w:highlight w:val="cyan"/>
              </w:rPr>
              <w:t>Supp</w:t>
            </w:r>
            <w:r w:rsidR="00FF2445">
              <w:rPr>
                <w:rFonts w:ascii="Arial" w:hAnsi="Arial" w:cs="Arial"/>
                <w:highlight w:val="cyan"/>
              </w:rPr>
              <w:t>ly</w:t>
            </w:r>
            <w:r w:rsidRPr="00262BB2">
              <w:rPr>
                <w:rFonts w:ascii="Arial" w:hAnsi="Arial" w:cs="Arial"/>
                <w:highlight w:val="cyan"/>
              </w:rPr>
              <w:t xml:space="preserve"> of appropriate labelled packs of 28x75mg tablets </w:t>
            </w:r>
            <w:r w:rsidR="0069351C">
              <w:rPr>
                <w:rFonts w:ascii="Arial" w:hAnsi="Arial" w:cs="Arial"/>
                <w:highlight w:val="cyan"/>
              </w:rPr>
              <w:t>can be made up to a maximum of 14x28 tablet</w:t>
            </w:r>
            <w:r w:rsidRPr="00262BB2">
              <w:rPr>
                <w:rFonts w:ascii="Arial" w:hAnsi="Arial" w:cs="Arial"/>
                <w:highlight w:val="cyan"/>
              </w:rPr>
              <w:t xml:space="preserve"> packs</w:t>
            </w:r>
            <w:r w:rsidR="00096296">
              <w:rPr>
                <w:rFonts w:ascii="Arial" w:hAnsi="Arial" w:cs="Arial"/>
                <w:highlight w:val="cyan"/>
              </w:rPr>
              <w:t xml:space="preserve"> (equivalent to a maximum of 28 weeks supply)</w:t>
            </w:r>
            <w:r w:rsidRPr="00FF2445">
              <w:rPr>
                <w:rFonts w:ascii="Arial" w:hAnsi="Arial" w:cs="Arial"/>
                <w:highlight w:val="cyan"/>
              </w:rPr>
              <w:t xml:space="preserve">.  </w:t>
            </w:r>
          </w:p>
          <w:p w14:paraId="29D90503" w14:textId="77777777" w:rsidR="00163D93" w:rsidRDefault="00163D93" w:rsidP="005A7498">
            <w:pPr>
              <w:numPr>
                <w:ilvl w:val="0"/>
                <w:numId w:val="30"/>
              </w:numPr>
              <w:overflowPunct w:val="0"/>
              <w:autoSpaceDE w:val="0"/>
              <w:autoSpaceDN w:val="0"/>
              <w:adjustRightInd w:val="0"/>
              <w:spacing w:after="0" w:line="240" w:lineRule="auto"/>
              <w:contextualSpacing/>
              <w:textAlignment w:val="baseline"/>
              <w:rPr>
                <w:rFonts w:ascii="Arial" w:hAnsi="Arial" w:cs="Arial"/>
                <w:highlight w:val="cyan"/>
              </w:rPr>
            </w:pPr>
            <w:r w:rsidRPr="00262BB2">
              <w:rPr>
                <w:rFonts w:ascii="Arial" w:hAnsi="Arial" w:cs="Arial"/>
                <w:highlight w:val="cyan"/>
              </w:rPr>
              <w:t>Supp</w:t>
            </w:r>
            <w:r>
              <w:rPr>
                <w:rFonts w:ascii="Arial" w:hAnsi="Arial" w:cs="Arial"/>
                <w:highlight w:val="cyan"/>
              </w:rPr>
              <w:t>ly</w:t>
            </w:r>
            <w:r w:rsidRPr="00262BB2">
              <w:rPr>
                <w:rFonts w:ascii="Arial" w:hAnsi="Arial" w:cs="Arial"/>
                <w:highlight w:val="cyan"/>
              </w:rPr>
              <w:t xml:space="preserve"> of </w:t>
            </w:r>
            <w:r>
              <w:rPr>
                <w:rFonts w:ascii="Arial" w:hAnsi="Arial" w:cs="Arial"/>
                <w:highlight w:val="cyan"/>
              </w:rPr>
              <w:t>appropriate labelled packs of 56</w:t>
            </w:r>
            <w:r w:rsidRPr="00262BB2">
              <w:rPr>
                <w:rFonts w:ascii="Arial" w:hAnsi="Arial" w:cs="Arial"/>
                <w:highlight w:val="cyan"/>
              </w:rPr>
              <w:t xml:space="preserve">x75mg tablets </w:t>
            </w:r>
            <w:r>
              <w:rPr>
                <w:rFonts w:ascii="Arial" w:hAnsi="Arial" w:cs="Arial"/>
                <w:highlight w:val="cyan"/>
              </w:rPr>
              <w:t>can be made up to a maximum of 7x56 tablet</w:t>
            </w:r>
            <w:r w:rsidRPr="00262BB2">
              <w:rPr>
                <w:rFonts w:ascii="Arial" w:hAnsi="Arial" w:cs="Arial"/>
                <w:highlight w:val="cyan"/>
              </w:rPr>
              <w:t xml:space="preserve"> packs</w:t>
            </w:r>
            <w:r>
              <w:rPr>
                <w:rFonts w:ascii="Arial" w:hAnsi="Arial" w:cs="Arial"/>
                <w:highlight w:val="cyan"/>
              </w:rPr>
              <w:t xml:space="preserve"> (equivalent to a maximum of 28 weeks supply)</w:t>
            </w:r>
            <w:r w:rsidRPr="00FF2445">
              <w:rPr>
                <w:rFonts w:ascii="Arial" w:hAnsi="Arial" w:cs="Arial"/>
                <w:highlight w:val="cyan"/>
              </w:rPr>
              <w:t xml:space="preserve">.  </w:t>
            </w:r>
          </w:p>
          <w:p w14:paraId="05A215EA" w14:textId="77777777" w:rsidR="00FF2445" w:rsidRDefault="00FF2445" w:rsidP="005A7498">
            <w:pPr>
              <w:numPr>
                <w:ilvl w:val="0"/>
                <w:numId w:val="30"/>
              </w:numPr>
              <w:overflowPunct w:val="0"/>
              <w:autoSpaceDE w:val="0"/>
              <w:autoSpaceDN w:val="0"/>
              <w:adjustRightInd w:val="0"/>
              <w:spacing w:after="0" w:line="240" w:lineRule="auto"/>
              <w:contextualSpacing/>
              <w:textAlignment w:val="baseline"/>
              <w:rPr>
                <w:rFonts w:ascii="Arial" w:hAnsi="Arial" w:cs="Arial"/>
                <w:highlight w:val="cyan"/>
              </w:rPr>
            </w:pPr>
            <w:r w:rsidRPr="00262BB2">
              <w:rPr>
                <w:rFonts w:ascii="Arial" w:hAnsi="Arial" w:cs="Arial"/>
                <w:highlight w:val="cyan"/>
              </w:rPr>
              <w:t>Supp</w:t>
            </w:r>
            <w:r>
              <w:rPr>
                <w:rFonts w:ascii="Arial" w:hAnsi="Arial" w:cs="Arial"/>
                <w:highlight w:val="cyan"/>
              </w:rPr>
              <w:t>ly</w:t>
            </w:r>
            <w:r w:rsidRPr="00262BB2">
              <w:rPr>
                <w:rFonts w:ascii="Arial" w:hAnsi="Arial" w:cs="Arial"/>
                <w:highlight w:val="cyan"/>
              </w:rPr>
              <w:t xml:space="preserve"> of appropriate labelled</w:t>
            </w:r>
            <w:r>
              <w:rPr>
                <w:rFonts w:ascii="Arial" w:hAnsi="Arial" w:cs="Arial"/>
                <w:highlight w:val="cyan"/>
              </w:rPr>
              <w:t xml:space="preserve"> packs of 100</w:t>
            </w:r>
            <w:r w:rsidRPr="00262BB2">
              <w:rPr>
                <w:rFonts w:ascii="Arial" w:hAnsi="Arial" w:cs="Arial"/>
                <w:highlight w:val="cyan"/>
              </w:rPr>
              <w:t xml:space="preserve">x75mg tablets </w:t>
            </w:r>
            <w:r>
              <w:rPr>
                <w:rFonts w:ascii="Arial" w:hAnsi="Arial" w:cs="Arial"/>
                <w:highlight w:val="cyan"/>
              </w:rPr>
              <w:t>can be made up to a maximum of 4x100 tablet</w:t>
            </w:r>
            <w:r w:rsidRPr="00262BB2">
              <w:rPr>
                <w:rFonts w:ascii="Arial" w:hAnsi="Arial" w:cs="Arial"/>
                <w:highlight w:val="cyan"/>
              </w:rPr>
              <w:t xml:space="preserve"> </w:t>
            </w:r>
            <w:r w:rsidRPr="00096296">
              <w:rPr>
                <w:rFonts w:ascii="Arial" w:hAnsi="Arial" w:cs="Arial"/>
                <w:highlight w:val="cyan"/>
              </w:rPr>
              <w:t>packs</w:t>
            </w:r>
            <w:r w:rsidR="00096296" w:rsidRPr="00096296">
              <w:rPr>
                <w:rFonts w:ascii="Arial" w:hAnsi="Arial" w:cs="Arial"/>
                <w:highlight w:val="cyan"/>
              </w:rPr>
              <w:t xml:space="preserve"> (equivalent to a maximum of 28 weeks supply).  </w:t>
            </w:r>
          </w:p>
          <w:p w14:paraId="362F72F9" w14:textId="77777777" w:rsidR="000D7528" w:rsidRPr="00262BB2" w:rsidRDefault="00FF2445" w:rsidP="005A7498">
            <w:pPr>
              <w:numPr>
                <w:ilvl w:val="0"/>
                <w:numId w:val="30"/>
              </w:numPr>
              <w:overflowPunct w:val="0"/>
              <w:autoSpaceDE w:val="0"/>
              <w:autoSpaceDN w:val="0"/>
              <w:adjustRightInd w:val="0"/>
              <w:spacing w:after="0" w:line="240" w:lineRule="auto"/>
              <w:contextualSpacing/>
              <w:textAlignment w:val="baseline"/>
              <w:rPr>
                <w:rFonts w:ascii="Arial" w:hAnsi="Arial" w:cs="Arial"/>
              </w:rPr>
            </w:pPr>
            <w:r w:rsidRPr="00FF2445">
              <w:rPr>
                <w:rFonts w:ascii="Arial" w:hAnsi="Arial" w:cs="Arial"/>
                <w:highlight w:val="cyan"/>
              </w:rPr>
              <w:t>Amend to reflect local supply agreement.</w:t>
            </w:r>
          </w:p>
        </w:tc>
      </w:tr>
      <w:tr w:rsidR="000D7528" w:rsidRPr="000D7528" w14:paraId="25727B5A" w14:textId="77777777" w:rsidTr="003317CA">
        <w:tc>
          <w:tcPr>
            <w:tcW w:w="3403" w:type="dxa"/>
            <w:shd w:val="clear" w:color="auto" w:fill="D9D9D9"/>
          </w:tcPr>
          <w:p w14:paraId="0BFE3B8E"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cs="Arial"/>
                <w:b/>
              </w:rPr>
              <w:t>Storage</w:t>
            </w:r>
          </w:p>
        </w:tc>
        <w:tc>
          <w:tcPr>
            <w:tcW w:w="6379" w:type="dxa"/>
          </w:tcPr>
          <w:p w14:paraId="333F7B85" w14:textId="77777777" w:rsidR="000D7528" w:rsidRPr="00A03E4F" w:rsidRDefault="000D7528" w:rsidP="005A7498">
            <w:p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Medicines must be stored securely according to national guidelines.</w:t>
            </w:r>
          </w:p>
        </w:tc>
      </w:tr>
      <w:tr w:rsidR="00FC18B8" w:rsidRPr="000D7528" w14:paraId="136447CD" w14:textId="77777777" w:rsidTr="003317CA">
        <w:tc>
          <w:tcPr>
            <w:tcW w:w="3403" w:type="dxa"/>
            <w:shd w:val="clear" w:color="auto" w:fill="D9D9D9"/>
          </w:tcPr>
          <w:p w14:paraId="33F303F6" w14:textId="77777777" w:rsidR="00FC18B8" w:rsidRPr="000D7528" w:rsidRDefault="00FC18B8" w:rsidP="00FC18B8">
            <w:pPr>
              <w:overflowPunct w:val="0"/>
              <w:autoSpaceDE w:val="0"/>
              <w:autoSpaceDN w:val="0"/>
              <w:adjustRightInd w:val="0"/>
              <w:spacing w:before="60" w:after="60"/>
              <w:textAlignment w:val="baseline"/>
              <w:rPr>
                <w:rFonts w:cs="Arial"/>
                <w:b/>
                <w:vertAlign w:val="superscript"/>
              </w:rPr>
            </w:pPr>
            <w:r w:rsidRPr="000D7528">
              <w:rPr>
                <w:rFonts w:ascii="Arial" w:hAnsi="Arial" w:cs="Arial"/>
                <w:b/>
              </w:rPr>
              <w:t>Drug interactions</w:t>
            </w:r>
          </w:p>
        </w:tc>
        <w:tc>
          <w:tcPr>
            <w:tcW w:w="6379" w:type="dxa"/>
          </w:tcPr>
          <w:p w14:paraId="0CEBCD29" w14:textId="77777777" w:rsidR="00FC18B8" w:rsidRPr="00A03E4F" w:rsidRDefault="00FC18B8" w:rsidP="005A7498">
            <w:pPr>
              <w:widowControl w:val="0"/>
              <w:spacing w:after="0" w:line="240" w:lineRule="auto"/>
              <w:rPr>
                <w:rFonts w:ascii="Arial" w:eastAsia="Arial" w:hAnsi="Arial" w:cs="Arial"/>
                <w:color w:val="0000FF"/>
                <w:u w:val="single"/>
              </w:rPr>
            </w:pPr>
            <w:r w:rsidRPr="00A03E4F">
              <w:rPr>
                <w:rFonts w:ascii="Arial" w:hAnsi="Arial" w:cs="Arial"/>
                <w:b/>
                <w:color w:val="000000"/>
              </w:rPr>
              <w:t>All concurrent medications must be checked for interactions.</w:t>
            </w:r>
            <w:r w:rsidRPr="00A03E4F">
              <w:rPr>
                <w:rFonts w:ascii="Arial" w:hAnsi="Arial" w:cs="Arial"/>
                <w:color w:val="000000"/>
              </w:rPr>
              <w:t xml:space="preserve">  A detailed list of drug interactions is available in the individual product SPC, which is available from the electronic Medicines Compendium website </w:t>
            </w:r>
            <w:r w:rsidRPr="00A03E4F">
              <w:rPr>
                <w:rFonts w:ascii="Arial" w:eastAsia="Arial" w:hAnsi="Arial" w:cs="Arial"/>
                <w:color w:val="0000FF"/>
                <w:u w:val="single"/>
              </w:rPr>
              <w:t>www.medicines.org.uk</w:t>
            </w:r>
            <w:r w:rsidRPr="00A03E4F">
              <w:rPr>
                <w:rFonts w:ascii="Arial" w:eastAsia="Arial" w:hAnsi="Arial" w:cs="Arial"/>
                <w:color w:val="000000"/>
              </w:rPr>
              <w:t xml:space="preserve"> the BNF</w:t>
            </w:r>
            <w:r w:rsidRPr="00A03E4F">
              <w:rPr>
                <w:rFonts w:ascii="Arial" w:eastAsia="Arial" w:hAnsi="Arial" w:cs="Arial"/>
                <w:color w:val="000000"/>
                <w:u w:val="single"/>
              </w:rPr>
              <w:t xml:space="preserve"> </w:t>
            </w:r>
            <w:hyperlink r:id="rId18" w:history="1">
              <w:r w:rsidRPr="00A03E4F">
                <w:rPr>
                  <w:rFonts w:ascii="Arial" w:eastAsia="Arial" w:hAnsi="Arial" w:cs="Arial"/>
                  <w:color w:val="0000FF"/>
                  <w:u w:val="single"/>
                </w:rPr>
                <w:t>www.bnf.org</w:t>
              </w:r>
            </w:hyperlink>
            <w:r w:rsidRPr="00A03E4F">
              <w:rPr>
                <w:rFonts w:ascii="Arial" w:eastAsia="Arial" w:hAnsi="Arial" w:cs="Arial"/>
                <w:color w:val="0000FF"/>
                <w:u w:val="single"/>
              </w:rPr>
              <w:t xml:space="preserve"> </w:t>
            </w:r>
          </w:p>
          <w:p w14:paraId="4D2A5ABC" w14:textId="77777777" w:rsidR="00FC18B8" w:rsidRPr="00A03E4F" w:rsidRDefault="00FC18B8" w:rsidP="005A7498">
            <w:pPr>
              <w:widowControl w:val="0"/>
              <w:spacing w:after="0" w:line="240" w:lineRule="auto"/>
              <w:rPr>
                <w:rFonts w:ascii="Arial" w:eastAsia="Arial" w:hAnsi="Arial" w:cs="Arial"/>
                <w:color w:val="0000FF"/>
                <w:u w:val="single"/>
              </w:rPr>
            </w:pPr>
          </w:p>
          <w:p w14:paraId="6CE7CB04" w14:textId="77777777" w:rsidR="00FC18B8" w:rsidRPr="00A03E4F" w:rsidRDefault="00FC18B8" w:rsidP="005A7498">
            <w:pPr>
              <w:widowControl w:val="0"/>
              <w:spacing w:after="0" w:line="240" w:lineRule="auto"/>
              <w:rPr>
                <w:rFonts w:ascii="Arial" w:hAnsi="Arial" w:cs="Arial"/>
              </w:rPr>
            </w:pPr>
            <w:r w:rsidRPr="00A03E4F">
              <w:rPr>
                <w:rFonts w:ascii="Arial" w:hAnsi="Arial" w:cs="Arial"/>
              </w:rPr>
              <w:t>Where a clinically significant interaction is identified discuss with appropriate medical/independent non-medical prescriber.</w:t>
            </w:r>
          </w:p>
        </w:tc>
      </w:tr>
      <w:tr w:rsidR="00FC18B8" w:rsidRPr="000D7528" w14:paraId="41CBE576" w14:textId="77777777" w:rsidTr="003317CA">
        <w:tc>
          <w:tcPr>
            <w:tcW w:w="3403" w:type="dxa"/>
            <w:shd w:val="clear" w:color="auto" w:fill="D9D9D9"/>
          </w:tcPr>
          <w:p w14:paraId="092333F4" w14:textId="77777777" w:rsidR="00FC18B8" w:rsidRPr="000D7528" w:rsidRDefault="00FC18B8" w:rsidP="00FC18B8">
            <w:pPr>
              <w:overflowPunct w:val="0"/>
              <w:autoSpaceDE w:val="0"/>
              <w:autoSpaceDN w:val="0"/>
              <w:adjustRightInd w:val="0"/>
              <w:spacing w:before="60" w:after="60"/>
              <w:textAlignment w:val="baseline"/>
              <w:rPr>
                <w:rFonts w:ascii="Arial" w:hAnsi="Arial" w:cs="Arial"/>
                <w:b/>
              </w:rPr>
            </w:pPr>
            <w:r w:rsidRPr="000D7528">
              <w:rPr>
                <w:rFonts w:ascii="Arial" w:hAnsi="Arial" w:cs="Arial"/>
                <w:b/>
              </w:rPr>
              <w:t>Identification &amp; management of adverse reactions</w:t>
            </w:r>
          </w:p>
        </w:tc>
        <w:tc>
          <w:tcPr>
            <w:tcW w:w="6379" w:type="dxa"/>
          </w:tcPr>
          <w:p w14:paraId="268CDF20" w14:textId="77777777" w:rsidR="00FC18B8" w:rsidRPr="00A03E4F" w:rsidRDefault="00FC18B8" w:rsidP="005A7498">
            <w:pPr>
              <w:widowControl w:val="0"/>
              <w:spacing w:after="0" w:line="240" w:lineRule="auto"/>
              <w:rPr>
                <w:rFonts w:ascii="Arial" w:hAnsi="Arial" w:cs="Arial"/>
              </w:rPr>
            </w:pPr>
            <w:r w:rsidRPr="00A03E4F">
              <w:rPr>
                <w:rFonts w:ascii="Arial" w:hAnsi="Arial" w:cs="Arial"/>
              </w:rPr>
              <w:t xml:space="preserve">A detailed list of adverse reactions is available in the SPC, which is available from the electronic Medicines Compendium website: </w:t>
            </w:r>
            <w:hyperlink r:id="rId19" w:history="1">
              <w:r w:rsidRPr="00A03E4F">
                <w:rPr>
                  <w:rFonts w:ascii="Arial" w:hAnsi="Arial" w:cs="Arial"/>
                  <w:color w:val="0000FF"/>
                  <w:u w:val="single"/>
                </w:rPr>
                <w:t>www.medicines.org.uk</w:t>
              </w:r>
            </w:hyperlink>
            <w:r w:rsidRPr="00A03E4F">
              <w:rPr>
                <w:rFonts w:ascii="Arial" w:hAnsi="Arial" w:cs="Arial"/>
              </w:rPr>
              <w:t xml:space="preserve"> and BNF </w:t>
            </w:r>
            <w:hyperlink r:id="rId20" w:history="1">
              <w:r w:rsidRPr="00A03E4F">
                <w:rPr>
                  <w:rFonts w:ascii="Arial" w:hAnsi="Arial" w:cs="Arial"/>
                  <w:color w:val="0000FF"/>
                  <w:u w:val="single"/>
                </w:rPr>
                <w:t>www.bnf.org</w:t>
              </w:r>
            </w:hyperlink>
            <w:r w:rsidRPr="00A03E4F">
              <w:rPr>
                <w:rFonts w:ascii="Arial" w:hAnsi="Arial" w:cs="Arial"/>
              </w:rPr>
              <w:t xml:space="preserve">  </w:t>
            </w:r>
          </w:p>
          <w:p w14:paraId="05588D0B" w14:textId="77777777" w:rsidR="00FC18B8" w:rsidRPr="00A03E4F" w:rsidRDefault="00FC18B8" w:rsidP="005A7498">
            <w:pPr>
              <w:widowControl w:val="0"/>
              <w:spacing w:after="0" w:line="240" w:lineRule="auto"/>
              <w:rPr>
                <w:rFonts w:ascii="Arial" w:hAnsi="Arial" w:cs="Arial"/>
              </w:rPr>
            </w:pPr>
          </w:p>
          <w:p w14:paraId="31279E3D" w14:textId="77777777" w:rsidR="00FC18B8" w:rsidRPr="00A03E4F" w:rsidRDefault="00FC18B8" w:rsidP="005A7498">
            <w:pPr>
              <w:widowControl w:val="0"/>
              <w:spacing w:after="0" w:line="240" w:lineRule="auto"/>
              <w:rPr>
                <w:rFonts w:ascii="Arial" w:hAnsi="Arial" w:cs="Arial"/>
              </w:rPr>
            </w:pPr>
            <w:r w:rsidRPr="00A03E4F">
              <w:rPr>
                <w:rFonts w:ascii="Arial" w:hAnsi="Arial" w:cs="Arial"/>
              </w:rPr>
              <w:t>The following possible adverse effects are commonly reported with</w:t>
            </w:r>
            <w:r w:rsidRPr="00A03E4F">
              <w:rPr>
                <w:lang w:val="en-US"/>
              </w:rPr>
              <w:t xml:space="preserve"> </w:t>
            </w:r>
            <w:r w:rsidRPr="00A03E4F">
              <w:rPr>
                <w:rFonts w:ascii="Arial" w:hAnsi="Arial" w:cs="Arial"/>
              </w:rPr>
              <w:t>aspirin (but may not reflect all reported adverse effects):</w:t>
            </w:r>
          </w:p>
          <w:p w14:paraId="57EE4953"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Dyspepsia</w:t>
            </w:r>
          </w:p>
          <w:p w14:paraId="6B7FD3B6"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Haemorrhage</w:t>
            </w:r>
          </w:p>
          <w:p w14:paraId="21E9CFCD"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Dyspnoea</w:t>
            </w:r>
          </w:p>
          <w:p w14:paraId="21D5A77E"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Rhinitis</w:t>
            </w:r>
          </w:p>
          <w:p w14:paraId="1C875335"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Skin reactions</w:t>
            </w:r>
          </w:p>
          <w:p w14:paraId="0E8FE835" w14:textId="77777777" w:rsidR="00FC18B8" w:rsidRPr="00A03E4F"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03E4F">
              <w:rPr>
                <w:rFonts w:ascii="Arial" w:hAnsi="Arial" w:cs="Arial"/>
              </w:rPr>
              <w:t>Bronchospasm / asthma attack</w:t>
            </w:r>
          </w:p>
        </w:tc>
      </w:tr>
      <w:tr w:rsidR="00FC18B8" w:rsidRPr="000D7528" w14:paraId="275F4787" w14:textId="77777777" w:rsidTr="003317CA">
        <w:tc>
          <w:tcPr>
            <w:tcW w:w="3403" w:type="dxa"/>
            <w:shd w:val="clear" w:color="auto" w:fill="D9D9D9"/>
          </w:tcPr>
          <w:p w14:paraId="462EC026" w14:textId="77777777" w:rsidR="00FC18B8" w:rsidRPr="000D7528" w:rsidRDefault="00FC18B8" w:rsidP="00FC18B8">
            <w:pPr>
              <w:overflowPunct w:val="0"/>
              <w:autoSpaceDE w:val="0"/>
              <w:autoSpaceDN w:val="0"/>
              <w:adjustRightInd w:val="0"/>
              <w:spacing w:before="60" w:after="60"/>
              <w:textAlignment w:val="baseline"/>
              <w:rPr>
                <w:rFonts w:ascii="Arial" w:hAnsi="Arial" w:cs="Arial"/>
                <w:b/>
              </w:rPr>
            </w:pPr>
            <w:r w:rsidRPr="000D7528">
              <w:rPr>
                <w:rFonts w:ascii="Arial" w:hAnsi="Arial" w:cs="Arial"/>
                <w:b/>
              </w:rPr>
              <w:lastRenderedPageBreak/>
              <w:t>Management of and reporting procedure for adverse reactions</w:t>
            </w:r>
          </w:p>
        </w:tc>
        <w:tc>
          <w:tcPr>
            <w:tcW w:w="6379" w:type="dxa"/>
          </w:tcPr>
          <w:p w14:paraId="0A8E5B4F" w14:textId="77777777" w:rsidR="00FC18B8" w:rsidRPr="00262BB2" w:rsidRDefault="00FC18B8" w:rsidP="005A7498">
            <w:pPr>
              <w:numPr>
                <w:ilvl w:val="0"/>
                <w:numId w:val="30"/>
              </w:numPr>
              <w:spacing w:after="0" w:line="240" w:lineRule="auto"/>
              <w:rPr>
                <w:rFonts w:ascii="Arial" w:eastAsia="Arial" w:hAnsi="Arial" w:cs="Arial"/>
              </w:rPr>
            </w:pPr>
            <w:r w:rsidRPr="00262BB2">
              <w:rPr>
                <w:rFonts w:ascii="Arial" w:eastAsia="Arial" w:hAnsi="Arial" w:cs="Arial"/>
              </w:rPr>
              <w:t xml:space="preserve">Any </w:t>
            </w:r>
            <w:r>
              <w:rPr>
                <w:rFonts w:ascii="Arial" w:eastAsia="Arial" w:hAnsi="Arial" w:cs="Arial"/>
              </w:rPr>
              <w:t>individual</w:t>
            </w:r>
            <w:r w:rsidRPr="00262BB2">
              <w:rPr>
                <w:rFonts w:ascii="Arial" w:eastAsia="Arial" w:hAnsi="Arial" w:cs="Arial"/>
              </w:rPr>
              <w:t xml:space="preserve"> experiencing mild side effects should contact </w:t>
            </w:r>
            <w:r>
              <w:rPr>
                <w:rFonts w:ascii="Arial" w:eastAsia="Arial" w:hAnsi="Arial" w:cs="Arial"/>
              </w:rPr>
              <w:t xml:space="preserve">their </w:t>
            </w:r>
            <w:r w:rsidRPr="00262BB2">
              <w:rPr>
                <w:rFonts w:ascii="Arial" w:eastAsia="Arial" w:hAnsi="Arial" w:cs="Arial"/>
              </w:rPr>
              <w:t>community midwife i</w:t>
            </w:r>
            <w:r>
              <w:rPr>
                <w:rFonts w:ascii="Arial" w:eastAsia="Arial" w:hAnsi="Arial" w:cs="Arial"/>
              </w:rPr>
              <w:t xml:space="preserve">n the first instance for advice – where clinically necessary the midwife should advise on any need for immediate discontinuation and refer to a specialist clinician for further advice.  </w:t>
            </w:r>
          </w:p>
          <w:p w14:paraId="12518F96" w14:textId="77777777" w:rsidR="00FC18B8" w:rsidRPr="000D7528" w:rsidRDefault="00FC18B8" w:rsidP="005A7498">
            <w:pPr>
              <w:widowControl w:val="0"/>
              <w:numPr>
                <w:ilvl w:val="0"/>
                <w:numId w:val="30"/>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Healthcare</w:t>
            </w:r>
            <w:r w:rsidRPr="000D7528">
              <w:rPr>
                <w:rFonts w:ascii="Arial" w:eastAsia="Arial" w:hAnsi="Arial" w:cs="Arial"/>
                <w:spacing w:val="26"/>
              </w:rPr>
              <w:t xml:space="preserve"> </w:t>
            </w:r>
            <w:r w:rsidRPr="000D7528">
              <w:rPr>
                <w:rFonts w:ascii="Arial" w:eastAsia="Arial" w:hAnsi="Arial" w:cs="Arial"/>
              </w:rPr>
              <w:t>professionals</w:t>
            </w:r>
            <w:r w:rsidRPr="000D7528">
              <w:rPr>
                <w:rFonts w:ascii="Arial" w:eastAsia="Arial" w:hAnsi="Arial" w:cs="Arial"/>
                <w:spacing w:val="24"/>
              </w:rPr>
              <w:t xml:space="preserve"> </w:t>
            </w:r>
            <w:r w:rsidRPr="000D7528">
              <w:rPr>
                <w:rFonts w:ascii="Arial" w:eastAsia="Arial" w:hAnsi="Arial" w:cs="Arial"/>
              </w:rPr>
              <w:t>and</w:t>
            </w:r>
            <w:r w:rsidRPr="000D7528">
              <w:rPr>
                <w:rFonts w:ascii="Arial" w:eastAsia="Arial" w:hAnsi="Arial" w:cs="Arial"/>
                <w:spacing w:val="14"/>
              </w:rPr>
              <w:t xml:space="preserve"> </w:t>
            </w:r>
            <w:r w:rsidRPr="000D7528">
              <w:rPr>
                <w:rFonts w:ascii="Arial" w:eastAsia="Arial" w:hAnsi="Arial" w:cs="Arial"/>
              </w:rPr>
              <w:t>patients/carers are</w:t>
            </w:r>
            <w:r w:rsidRPr="000D7528">
              <w:rPr>
                <w:rFonts w:ascii="Arial" w:eastAsia="Arial" w:hAnsi="Arial" w:cs="Arial"/>
                <w:spacing w:val="10"/>
              </w:rPr>
              <w:t xml:space="preserve"> </w:t>
            </w:r>
            <w:r w:rsidRPr="000D7528">
              <w:rPr>
                <w:rFonts w:ascii="Arial" w:eastAsia="Arial" w:hAnsi="Arial" w:cs="Arial"/>
              </w:rPr>
              <w:t>encouraged</w:t>
            </w:r>
            <w:r w:rsidRPr="000D7528">
              <w:rPr>
                <w:rFonts w:ascii="Arial" w:eastAsia="Arial" w:hAnsi="Arial" w:cs="Arial"/>
                <w:spacing w:val="25"/>
              </w:rPr>
              <w:t xml:space="preserve"> </w:t>
            </w:r>
            <w:r w:rsidRPr="000D7528">
              <w:rPr>
                <w:rFonts w:ascii="Arial" w:eastAsia="Arial" w:hAnsi="Arial" w:cs="Arial"/>
              </w:rPr>
              <w:t>to</w:t>
            </w:r>
            <w:r w:rsidRPr="000D7528">
              <w:rPr>
                <w:rFonts w:ascii="Arial" w:eastAsia="Arial" w:hAnsi="Arial" w:cs="Arial"/>
                <w:spacing w:val="21"/>
              </w:rPr>
              <w:t xml:space="preserve"> </w:t>
            </w:r>
            <w:r w:rsidRPr="000D7528">
              <w:rPr>
                <w:rFonts w:ascii="Arial" w:eastAsia="Arial" w:hAnsi="Arial" w:cs="Arial"/>
              </w:rPr>
              <w:t>report</w:t>
            </w:r>
            <w:r w:rsidRPr="000D7528">
              <w:rPr>
                <w:rFonts w:ascii="Arial" w:eastAsia="Arial" w:hAnsi="Arial" w:cs="Arial"/>
                <w:spacing w:val="13"/>
              </w:rPr>
              <w:t xml:space="preserve"> </w:t>
            </w:r>
            <w:r w:rsidRPr="000D7528">
              <w:rPr>
                <w:rFonts w:ascii="Arial" w:eastAsia="Arial" w:hAnsi="Arial" w:cs="Arial"/>
              </w:rPr>
              <w:t>suspected</w:t>
            </w:r>
            <w:r w:rsidRPr="000D7528">
              <w:rPr>
                <w:rFonts w:ascii="Arial" w:eastAsia="Arial" w:hAnsi="Arial" w:cs="Arial"/>
                <w:spacing w:val="18"/>
              </w:rPr>
              <w:t xml:space="preserve"> </w:t>
            </w:r>
            <w:r w:rsidRPr="000D7528">
              <w:rPr>
                <w:rFonts w:ascii="Arial" w:eastAsia="Arial" w:hAnsi="Arial" w:cs="Arial"/>
              </w:rPr>
              <w:t>adverse</w:t>
            </w:r>
            <w:r w:rsidRPr="000D7528">
              <w:rPr>
                <w:rFonts w:ascii="Arial" w:eastAsia="Arial" w:hAnsi="Arial" w:cs="Arial"/>
                <w:spacing w:val="29"/>
              </w:rPr>
              <w:t xml:space="preserve"> </w:t>
            </w:r>
            <w:r w:rsidRPr="000D7528">
              <w:rPr>
                <w:rFonts w:ascii="Arial" w:eastAsia="Arial" w:hAnsi="Arial" w:cs="Arial"/>
              </w:rPr>
              <w:t>reactions</w:t>
            </w:r>
            <w:r w:rsidRPr="000D7528">
              <w:rPr>
                <w:rFonts w:ascii="Arial" w:eastAsia="Arial" w:hAnsi="Arial" w:cs="Arial"/>
                <w:spacing w:val="10"/>
              </w:rPr>
              <w:t xml:space="preserve"> </w:t>
            </w:r>
            <w:r w:rsidRPr="000D7528">
              <w:rPr>
                <w:rFonts w:ascii="Arial" w:eastAsia="Arial" w:hAnsi="Arial" w:cs="Arial"/>
              </w:rPr>
              <w:t>to</w:t>
            </w:r>
            <w:r w:rsidRPr="000D7528">
              <w:rPr>
                <w:rFonts w:ascii="Arial" w:eastAsia="Arial" w:hAnsi="Arial" w:cs="Arial"/>
                <w:spacing w:val="14"/>
              </w:rPr>
              <w:t xml:space="preserve"> </w:t>
            </w:r>
            <w:r w:rsidRPr="000D7528">
              <w:rPr>
                <w:rFonts w:ascii="Arial" w:eastAsia="Arial" w:hAnsi="Arial" w:cs="Arial"/>
              </w:rPr>
              <w:t>the</w:t>
            </w:r>
            <w:r w:rsidRPr="000D7528">
              <w:rPr>
                <w:rFonts w:ascii="Arial" w:eastAsia="Arial" w:hAnsi="Arial" w:cs="Arial"/>
                <w:w w:val="98"/>
              </w:rPr>
              <w:t xml:space="preserve"> </w:t>
            </w:r>
            <w:r w:rsidRPr="000D7528">
              <w:rPr>
                <w:rFonts w:ascii="Arial" w:eastAsia="Arial" w:hAnsi="Arial" w:cs="Arial"/>
              </w:rPr>
              <w:t>Medicines</w:t>
            </w:r>
            <w:r w:rsidRPr="000D7528">
              <w:rPr>
                <w:rFonts w:ascii="Arial" w:eastAsia="Arial" w:hAnsi="Arial" w:cs="Arial"/>
                <w:spacing w:val="22"/>
              </w:rPr>
              <w:t xml:space="preserve"> </w:t>
            </w:r>
            <w:r w:rsidRPr="000D7528">
              <w:rPr>
                <w:rFonts w:ascii="Arial" w:eastAsia="Arial" w:hAnsi="Arial" w:cs="Arial"/>
              </w:rPr>
              <w:t>and</w:t>
            </w:r>
            <w:r w:rsidRPr="000D7528">
              <w:rPr>
                <w:rFonts w:ascii="Arial" w:eastAsia="Arial" w:hAnsi="Arial" w:cs="Arial"/>
                <w:spacing w:val="19"/>
              </w:rPr>
              <w:t xml:space="preserve"> </w:t>
            </w:r>
            <w:r w:rsidRPr="000D7528">
              <w:rPr>
                <w:rFonts w:ascii="Arial" w:eastAsia="Arial" w:hAnsi="Arial" w:cs="Arial"/>
              </w:rPr>
              <w:t>Healthcare</w:t>
            </w:r>
            <w:r w:rsidRPr="000D7528">
              <w:rPr>
                <w:rFonts w:ascii="Arial" w:eastAsia="Arial" w:hAnsi="Arial" w:cs="Arial"/>
                <w:spacing w:val="18"/>
              </w:rPr>
              <w:t xml:space="preserve"> </w:t>
            </w:r>
            <w:r w:rsidRPr="000D7528">
              <w:rPr>
                <w:rFonts w:ascii="Arial" w:eastAsia="Arial" w:hAnsi="Arial" w:cs="Arial"/>
              </w:rPr>
              <w:t>products</w:t>
            </w:r>
            <w:r w:rsidRPr="000D7528">
              <w:rPr>
                <w:rFonts w:ascii="Arial" w:eastAsia="Arial" w:hAnsi="Arial" w:cs="Arial"/>
                <w:spacing w:val="23"/>
              </w:rPr>
              <w:t xml:space="preserve"> </w:t>
            </w:r>
            <w:r w:rsidRPr="000D7528">
              <w:rPr>
                <w:rFonts w:ascii="Arial" w:eastAsia="Arial" w:hAnsi="Arial" w:cs="Arial"/>
              </w:rPr>
              <w:t>Regulatory</w:t>
            </w:r>
            <w:r w:rsidRPr="000D7528">
              <w:rPr>
                <w:rFonts w:ascii="Arial" w:eastAsia="Arial" w:hAnsi="Arial" w:cs="Arial"/>
                <w:spacing w:val="7"/>
              </w:rPr>
              <w:t xml:space="preserve"> </w:t>
            </w:r>
            <w:r w:rsidRPr="000D7528">
              <w:rPr>
                <w:rFonts w:ascii="Arial" w:eastAsia="Arial" w:hAnsi="Arial" w:cs="Arial"/>
              </w:rPr>
              <w:t>Agency</w:t>
            </w:r>
            <w:r w:rsidRPr="000D7528">
              <w:rPr>
                <w:rFonts w:ascii="Arial" w:eastAsia="Arial" w:hAnsi="Arial" w:cs="Arial"/>
                <w:spacing w:val="38"/>
              </w:rPr>
              <w:t xml:space="preserve"> </w:t>
            </w:r>
            <w:r w:rsidRPr="000D7528">
              <w:rPr>
                <w:rFonts w:ascii="Arial" w:eastAsia="Arial" w:hAnsi="Arial" w:cs="Arial"/>
              </w:rPr>
              <w:t>(MHRA)</w:t>
            </w:r>
            <w:r w:rsidRPr="000D7528">
              <w:rPr>
                <w:rFonts w:ascii="Arial" w:eastAsia="Arial" w:hAnsi="Arial" w:cs="Arial"/>
                <w:w w:val="101"/>
              </w:rPr>
              <w:t xml:space="preserve"> </w:t>
            </w:r>
            <w:r w:rsidRPr="000D7528">
              <w:rPr>
                <w:rFonts w:ascii="Arial" w:eastAsia="Arial" w:hAnsi="Arial" w:cs="Arial"/>
              </w:rPr>
              <w:t>using</w:t>
            </w:r>
            <w:r w:rsidRPr="000D7528">
              <w:rPr>
                <w:rFonts w:ascii="Arial" w:eastAsia="Arial" w:hAnsi="Arial" w:cs="Arial"/>
                <w:spacing w:val="9"/>
              </w:rPr>
              <w:t xml:space="preserve"> </w:t>
            </w:r>
            <w:r w:rsidRPr="000D7528">
              <w:rPr>
                <w:rFonts w:ascii="Arial" w:eastAsia="Arial" w:hAnsi="Arial" w:cs="Arial"/>
              </w:rPr>
              <w:t>the</w:t>
            </w:r>
            <w:r w:rsidRPr="000D7528">
              <w:rPr>
                <w:rFonts w:ascii="Arial" w:eastAsia="Arial" w:hAnsi="Arial" w:cs="Arial"/>
                <w:spacing w:val="11"/>
              </w:rPr>
              <w:t xml:space="preserve"> </w:t>
            </w:r>
            <w:r w:rsidRPr="000D7528">
              <w:rPr>
                <w:rFonts w:ascii="Arial" w:eastAsia="Arial" w:hAnsi="Arial" w:cs="Arial"/>
              </w:rPr>
              <w:t>Yellow</w:t>
            </w:r>
            <w:r w:rsidRPr="000D7528">
              <w:rPr>
                <w:rFonts w:ascii="Arial" w:eastAsia="Arial" w:hAnsi="Arial" w:cs="Arial"/>
                <w:spacing w:val="28"/>
              </w:rPr>
              <w:t xml:space="preserve"> </w:t>
            </w:r>
            <w:r w:rsidRPr="000D7528">
              <w:rPr>
                <w:rFonts w:ascii="Arial" w:eastAsia="Arial" w:hAnsi="Arial" w:cs="Arial"/>
              </w:rPr>
              <w:t>Card</w:t>
            </w:r>
            <w:r w:rsidRPr="000D7528">
              <w:rPr>
                <w:rFonts w:ascii="Arial" w:eastAsia="Arial" w:hAnsi="Arial" w:cs="Arial"/>
                <w:spacing w:val="16"/>
              </w:rPr>
              <w:t xml:space="preserve"> </w:t>
            </w:r>
            <w:r w:rsidRPr="000D7528">
              <w:rPr>
                <w:rFonts w:ascii="Arial" w:eastAsia="Arial" w:hAnsi="Arial" w:cs="Arial"/>
              </w:rPr>
              <w:t>reporting</w:t>
            </w:r>
            <w:r w:rsidRPr="000D7528">
              <w:rPr>
                <w:rFonts w:ascii="Arial" w:eastAsia="Arial" w:hAnsi="Arial" w:cs="Arial"/>
                <w:spacing w:val="12"/>
              </w:rPr>
              <w:t xml:space="preserve"> </w:t>
            </w:r>
            <w:r w:rsidRPr="000D7528">
              <w:rPr>
                <w:rFonts w:ascii="Arial" w:eastAsia="Arial" w:hAnsi="Arial" w:cs="Arial"/>
              </w:rPr>
              <w:t>scheme</w:t>
            </w:r>
            <w:r w:rsidRPr="000D7528">
              <w:rPr>
                <w:rFonts w:ascii="Arial" w:eastAsia="Arial" w:hAnsi="Arial" w:cs="Arial"/>
                <w:spacing w:val="16"/>
              </w:rPr>
              <w:t xml:space="preserve"> </w:t>
            </w:r>
            <w:r w:rsidRPr="000D7528">
              <w:rPr>
                <w:rFonts w:ascii="Arial" w:eastAsia="Arial" w:hAnsi="Arial" w:cs="Arial"/>
              </w:rPr>
              <w:t xml:space="preserve">on: </w:t>
            </w:r>
            <w:hyperlink r:id="rId21" w:history="1">
              <w:r w:rsidRPr="000D7528">
                <w:rPr>
                  <w:rFonts w:ascii="Arial" w:eastAsia="Arial" w:hAnsi="Arial" w:cs="Arial"/>
                  <w:color w:val="2F5496"/>
                  <w:u w:val="single"/>
                </w:rPr>
                <w:t>http://yellowcard.mhra.gov.uk</w:t>
              </w:r>
            </w:hyperlink>
            <w:r w:rsidRPr="000D7528">
              <w:rPr>
                <w:rFonts w:ascii="Arial" w:eastAsia="Arial" w:hAnsi="Arial" w:cs="Arial"/>
                <w:color w:val="2F5496"/>
                <w:u w:val="single"/>
              </w:rPr>
              <w:t xml:space="preserve"> </w:t>
            </w:r>
            <w:r w:rsidRPr="000D7528">
              <w:rPr>
                <w:rFonts w:ascii="Arial" w:eastAsia="Arial" w:hAnsi="Arial" w:cs="Arial"/>
                <w:color w:val="2F5496"/>
              </w:rPr>
              <w:t xml:space="preserve">   </w:t>
            </w:r>
          </w:p>
          <w:p w14:paraId="5DFE3592" w14:textId="77777777" w:rsidR="00FC18B8" w:rsidRPr="000D7528"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Record all adverse drug reactions (ADRs) in the patient’s medical record.</w:t>
            </w:r>
          </w:p>
          <w:p w14:paraId="7C5A1833" w14:textId="77777777" w:rsidR="00FC18B8" w:rsidRPr="000D7528" w:rsidRDefault="00FC18B8" w:rsidP="005A7498">
            <w:pPr>
              <w:widowControl w:val="0"/>
              <w:numPr>
                <w:ilvl w:val="0"/>
                <w:numId w:val="30"/>
              </w:num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Report via organisation incident policy.</w:t>
            </w:r>
          </w:p>
        </w:tc>
      </w:tr>
      <w:tr w:rsidR="00FC18B8" w:rsidRPr="000D7528" w14:paraId="6E0A6FCC" w14:textId="77777777" w:rsidTr="003317CA">
        <w:tc>
          <w:tcPr>
            <w:tcW w:w="3403" w:type="dxa"/>
            <w:shd w:val="clear" w:color="auto" w:fill="D9D9D9"/>
          </w:tcPr>
          <w:p w14:paraId="0D47C835" w14:textId="77777777" w:rsidR="00FC18B8" w:rsidRPr="000D7528" w:rsidRDefault="00FC18B8" w:rsidP="00FC18B8">
            <w:pPr>
              <w:overflowPunct w:val="0"/>
              <w:autoSpaceDE w:val="0"/>
              <w:autoSpaceDN w:val="0"/>
              <w:adjustRightInd w:val="0"/>
              <w:spacing w:before="60" w:after="60"/>
              <w:textAlignment w:val="baseline"/>
              <w:rPr>
                <w:rFonts w:ascii="Arial" w:hAnsi="Arial" w:cs="Arial"/>
                <w:b/>
              </w:rPr>
            </w:pPr>
            <w:r w:rsidRPr="000D7528">
              <w:rPr>
                <w:szCs w:val="20"/>
              </w:rPr>
              <w:br w:type="page"/>
            </w:r>
            <w:r w:rsidRPr="000D7528">
              <w:rPr>
                <w:szCs w:val="20"/>
              </w:rPr>
              <w:br w:type="page"/>
            </w:r>
            <w:r w:rsidRPr="000D7528">
              <w:rPr>
                <w:rFonts w:ascii="Arial" w:hAnsi="Arial" w:cs="Arial"/>
                <w:b/>
              </w:rPr>
              <w:t xml:space="preserve">Written information and further advice to be given to individual </w:t>
            </w:r>
          </w:p>
        </w:tc>
        <w:tc>
          <w:tcPr>
            <w:tcW w:w="6379" w:type="dxa"/>
          </w:tcPr>
          <w:p w14:paraId="15D85BA5" w14:textId="77777777" w:rsidR="00FC18B8" w:rsidRPr="000D7528" w:rsidRDefault="00FC18B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 xml:space="preserve">Provide patient information leaflet (PIL) provided with the original pack. </w:t>
            </w:r>
          </w:p>
          <w:p w14:paraId="284079DF" w14:textId="77777777" w:rsidR="00FC18B8" w:rsidRPr="00A03E4F" w:rsidRDefault="00FC18B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Explain mode of action, side effects, and benefits of the m</w:t>
            </w:r>
            <w:r w:rsidRPr="00A03E4F">
              <w:rPr>
                <w:rFonts w:ascii="Arial" w:eastAsia="Arial" w:hAnsi="Arial" w:cs="Arial"/>
              </w:rPr>
              <w:t>edicine</w:t>
            </w:r>
          </w:p>
          <w:p w14:paraId="4C902AF1" w14:textId="77777777" w:rsidR="00171F08" w:rsidRPr="00A03E4F" w:rsidRDefault="00171F0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A03E4F">
              <w:rPr>
                <w:rFonts w:ascii="Arial" w:eastAsia="Arial" w:hAnsi="Arial" w:cs="Arial"/>
              </w:rPr>
              <w:t xml:space="preserve">Advise that aspirin is best taken </w:t>
            </w:r>
            <w:r w:rsidR="000E0633" w:rsidRPr="00A03E4F">
              <w:rPr>
                <w:rFonts w:ascii="Arial" w:eastAsia="Arial" w:hAnsi="Arial" w:cs="Arial"/>
              </w:rPr>
              <w:t xml:space="preserve">in </w:t>
            </w:r>
            <w:r w:rsidRPr="00A03E4F">
              <w:rPr>
                <w:rFonts w:ascii="Arial" w:eastAsia="Arial" w:hAnsi="Arial" w:cs="Arial"/>
              </w:rPr>
              <w:t>the evening, with food.</w:t>
            </w:r>
          </w:p>
          <w:p w14:paraId="51CC2B9A" w14:textId="77777777" w:rsidR="00FC18B8" w:rsidRPr="00A03E4F" w:rsidRDefault="00FC18B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A03E4F">
              <w:rPr>
                <w:rFonts w:ascii="Arial" w:eastAsia="Arial" w:hAnsi="Arial" w:cs="Arial"/>
              </w:rPr>
              <w:t xml:space="preserve">Advise that dispersible forms should be dispersed in a small amount of water; enteric and standard tablet forms should be swallowed whole.  </w:t>
            </w:r>
          </w:p>
          <w:p w14:paraId="20B19ACC" w14:textId="77777777" w:rsidR="00FC18B8" w:rsidRPr="00A03E4F" w:rsidRDefault="00171F0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A03E4F">
              <w:rPr>
                <w:rFonts w:ascii="Arial" w:eastAsia="Arial" w:hAnsi="Arial" w:cs="Arial"/>
              </w:rPr>
              <w:t>There is n</w:t>
            </w:r>
            <w:r w:rsidR="00FC18B8" w:rsidRPr="00A03E4F">
              <w:rPr>
                <w:rFonts w:ascii="Arial" w:eastAsia="Arial" w:hAnsi="Arial" w:cs="Arial"/>
              </w:rPr>
              <w:t>o evidence to suggest that low dose aspirin increases the risk of bleeding during pregnancy or at the time of birth.</w:t>
            </w:r>
          </w:p>
          <w:p w14:paraId="588C5482" w14:textId="77777777" w:rsidR="00FC18B8" w:rsidRPr="00A03E4F" w:rsidRDefault="00FC18B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A03E4F">
              <w:rPr>
                <w:rFonts w:ascii="Arial" w:eastAsia="Arial" w:hAnsi="Arial" w:cs="Arial"/>
              </w:rPr>
              <w:t>No other NSAID or aspirin containing products including over the counter analgesic preparations should be taken.</w:t>
            </w:r>
          </w:p>
          <w:p w14:paraId="1A92D53F" w14:textId="77777777" w:rsidR="00171F08" w:rsidRDefault="00171F0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sidRPr="00A03E4F">
              <w:rPr>
                <w:rFonts w:ascii="Arial" w:eastAsia="Arial" w:hAnsi="Arial" w:cs="Arial"/>
              </w:rPr>
              <w:t>The aspirin should be continued until</w:t>
            </w:r>
            <w:r>
              <w:rPr>
                <w:rFonts w:ascii="Arial" w:eastAsia="Arial" w:hAnsi="Arial" w:cs="Arial"/>
              </w:rPr>
              <w:t xml:space="preserve"> </w:t>
            </w:r>
            <w:r w:rsidRPr="00FC18B8">
              <w:rPr>
                <w:rFonts w:ascii="Arial" w:hAnsi="Arial" w:cs="Arial"/>
                <w:highlight w:val="cyan"/>
              </w:rPr>
              <w:t>36 weeks/delivery (delete as applicable to local policy)</w:t>
            </w:r>
          </w:p>
          <w:p w14:paraId="0E0B9972" w14:textId="77777777" w:rsidR="00FC18B8" w:rsidRPr="00262BB2" w:rsidRDefault="00FC18B8" w:rsidP="005A7498">
            <w:pPr>
              <w:widowControl w:val="0"/>
              <w:numPr>
                <w:ilvl w:val="0"/>
                <w:numId w:val="42"/>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 xml:space="preserve">Any remaining tablets not taken by the end of the pregnancy should be returned to a community pharmacy for disposal.  </w:t>
            </w:r>
          </w:p>
        </w:tc>
      </w:tr>
      <w:tr w:rsidR="00FC18B8" w:rsidRPr="000D7528" w14:paraId="29A517ED" w14:textId="77777777" w:rsidTr="003317CA">
        <w:tblPrEx>
          <w:tblLook w:val="0000" w:firstRow="0" w:lastRow="0" w:firstColumn="0" w:lastColumn="0" w:noHBand="0" w:noVBand="0"/>
        </w:tblPrEx>
        <w:tc>
          <w:tcPr>
            <w:tcW w:w="3403" w:type="dxa"/>
            <w:shd w:val="clear" w:color="auto" w:fill="D9D9D9"/>
          </w:tcPr>
          <w:p w14:paraId="216FC698" w14:textId="77777777" w:rsidR="00FC18B8" w:rsidRPr="000D7528" w:rsidRDefault="00FC18B8" w:rsidP="00FC18B8">
            <w:pPr>
              <w:overflowPunct w:val="0"/>
              <w:autoSpaceDE w:val="0"/>
              <w:autoSpaceDN w:val="0"/>
              <w:adjustRightInd w:val="0"/>
              <w:spacing w:before="60" w:after="60"/>
              <w:textAlignment w:val="baseline"/>
              <w:rPr>
                <w:rFonts w:ascii="Arial" w:hAnsi="Arial" w:cs="Arial"/>
              </w:rPr>
            </w:pPr>
            <w:r w:rsidRPr="000D7528">
              <w:rPr>
                <w:rFonts w:ascii="Arial" w:hAnsi="Arial" w:cs="Arial"/>
                <w:b/>
              </w:rPr>
              <w:t>Advice / follow up treatment</w:t>
            </w:r>
          </w:p>
        </w:tc>
        <w:tc>
          <w:tcPr>
            <w:tcW w:w="6379" w:type="dxa"/>
          </w:tcPr>
          <w:p w14:paraId="582274D5" w14:textId="77777777" w:rsidR="00FC18B8" w:rsidRPr="000D7528" w:rsidRDefault="00FC18B8" w:rsidP="005A7498">
            <w:pPr>
              <w:numPr>
                <w:ilvl w:val="0"/>
                <w:numId w:val="43"/>
              </w:numPr>
              <w:overflowPunct w:val="0"/>
              <w:autoSpaceDE w:val="0"/>
              <w:autoSpaceDN w:val="0"/>
              <w:adjustRightInd w:val="0"/>
              <w:spacing w:after="0" w:line="240" w:lineRule="auto"/>
              <w:textAlignment w:val="baseline"/>
              <w:rPr>
                <w:rFonts w:ascii="Arial" w:eastAsia="Arial" w:hAnsi="Arial" w:cs="Arial"/>
                <w:color w:val="000000"/>
              </w:rPr>
            </w:pPr>
            <w:r w:rsidRPr="000D7528">
              <w:rPr>
                <w:rFonts w:ascii="Arial" w:eastAsia="Arial" w:hAnsi="Arial" w:cs="Arial"/>
                <w:color w:val="000000"/>
              </w:rPr>
              <w:t>The individual should be advised to seek medical advice in the event of an adverse reaction.</w:t>
            </w:r>
          </w:p>
          <w:p w14:paraId="3CE8F163" w14:textId="77777777" w:rsidR="00FC18B8" w:rsidRPr="000D7528" w:rsidRDefault="00FC18B8" w:rsidP="005A7498">
            <w:pPr>
              <w:widowControl w:val="0"/>
              <w:numPr>
                <w:ilvl w:val="0"/>
                <w:numId w:val="43"/>
              </w:numPr>
              <w:overflowPunct w:val="0"/>
              <w:autoSpaceDE w:val="0"/>
              <w:autoSpaceDN w:val="0"/>
              <w:adjustRightInd w:val="0"/>
              <w:spacing w:after="0" w:line="240" w:lineRule="auto"/>
              <w:textAlignment w:val="baseline"/>
              <w:rPr>
                <w:rFonts w:ascii="Arial" w:eastAsia="Arial" w:hAnsi="Arial" w:cs="Arial"/>
              </w:rPr>
            </w:pPr>
            <w:r w:rsidRPr="000D7528">
              <w:rPr>
                <w:rFonts w:ascii="Arial" w:eastAsia="Arial" w:hAnsi="Arial" w:cs="Arial"/>
              </w:rPr>
              <w:t>Individual to seek further advice if she has any concerns</w:t>
            </w:r>
          </w:p>
          <w:p w14:paraId="4F812CEB" w14:textId="77777777" w:rsidR="00FC18B8" w:rsidRPr="000D7528" w:rsidRDefault="0053667C" w:rsidP="005A7498">
            <w:pPr>
              <w:widowControl w:val="0"/>
              <w:numPr>
                <w:ilvl w:val="0"/>
                <w:numId w:val="43"/>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 xml:space="preserve">Follow up appointments should be arranged as per local policy.  </w:t>
            </w:r>
            <w:r w:rsidR="00FC18B8" w:rsidRPr="000D7528">
              <w:rPr>
                <w:rFonts w:ascii="Arial" w:eastAsia="Arial" w:hAnsi="Arial" w:cs="Arial"/>
              </w:rPr>
              <w:t xml:space="preserve">  </w:t>
            </w:r>
          </w:p>
        </w:tc>
      </w:tr>
      <w:tr w:rsidR="00FC18B8" w:rsidRPr="000D7528" w14:paraId="1F5AEA24" w14:textId="77777777" w:rsidTr="003317CA">
        <w:tblPrEx>
          <w:tblLook w:val="0000" w:firstRow="0" w:lastRow="0" w:firstColumn="0" w:lastColumn="0" w:noHBand="0" w:noVBand="0"/>
        </w:tblPrEx>
        <w:tc>
          <w:tcPr>
            <w:tcW w:w="3403" w:type="dxa"/>
            <w:shd w:val="clear" w:color="auto" w:fill="D9D9D9"/>
          </w:tcPr>
          <w:p w14:paraId="3D93AFCC" w14:textId="77777777" w:rsidR="00FC18B8" w:rsidRPr="000D7528" w:rsidRDefault="00FC18B8" w:rsidP="00FC18B8">
            <w:pPr>
              <w:overflowPunct w:val="0"/>
              <w:autoSpaceDE w:val="0"/>
              <w:autoSpaceDN w:val="0"/>
              <w:adjustRightInd w:val="0"/>
              <w:spacing w:before="60" w:after="60"/>
              <w:textAlignment w:val="baseline"/>
              <w:rPr>
                <w:rFonts w:ascii="Arial" w:hAnsi="Arial" w:cs="Arial"/>
                <w:b/>
              </w:rPr>
            </w:pPr>
            <w:r w:rsidRPr="000D7528">
              <w:rPr>
                <w:rFonts w:ascii="Arial" w:hAnsi="Arial" w:cs="Arial"/>
                <w:b/>
              </w:rPr>
              <w:t>Records</w:t>
            </w:r>
          </w:p>
        </w:tc>
        <w:tc>
          <w:tcPr>
            <w:tcW w:w="6379" w:type="dxa"/>
          </w:tcPr>
          <w:p w14:paraId="65CBF0A3" w14:textId="77777777" w:rsidR="00FC18B8" w:rsidRPr="005554A2" w:rsidRDefault="00FC18B8" w:rsidP="005A7498">
            <w:pPr>
              <w:widowControl w:val="0"/>
              <w:overflowPunct w:val="0"/>
              <w:autoSpaceDE w:val="0"/>
              <w:autoSpaceDN w:val="0"/>
              <w:adjustRightInd w:val="0"/>
              <w:spacing w:after="0" w:line="240" w:lineRule="auto"/>
              <w:contextualSpacing/>
              <w:textAlignment w:val="baseline"/>
              <w:rPr>
                <w:rFonts w:ascii="Arial" w:hAnsi="Arial" w:cs="Arial"/>
                <w:color w:val="000000"/>
                <w:sz w:val="20"/>
              </w:rPr>
            </w:pPr>
            <w:r w:rsidRPr="005554A2">
              <w:rPr>
                <w:rFonts w:ascii="Arial" w:hAnsi="Arial" w:cs="Arial"/>
                <w:b/>
              </w:rPr>
              <w:t xml:space="preserve">Record: </w:t>
            </w:r>
          </w:p>
          <w:p w14:paraId="5BDB7AA6" w14:textId="77777777" w:rsidR="00FC18B8" w:rsidRPr="005B15BC" w:rsidRDefault="00FC18B8" w:rsidP="005A7498">
            <w:pPr>
              <w:widowControl w:val="0"/>
              <w:numPr>
                <w:ilvl w:val="0"/>
                <w:numId w:val="45"/>
              </w:numPr>
              <w:overflowPunct w:val="0"/>
              <w:autoSpaceDE w:val="0"/>
              <w:autoSpaceDN w:val="0"/>
              <w:adjustRightInd w:val="0"/>
              <w:spacing w:after="0" w:line="240" w:lineRule="auto"/>
              <w:contextualSpacing/>
              <w:textAlignment w:val="baseline"/>
              <w:rPr>
                <w:rFonts w:ascii="Arial" w:hAnsi="Arial" w:cs="Arial"/>
                <w:color w:val="000000"/>
              </w:rPr>
            </w:pPr>
            <w:r w:rsidRPr="005B15BC">
              <w:rPr>
                <w:rFonts w:ascii="Arial" w:hAnsi="Arial" w:cs="Arial"/>
                <w:color w:val="000000"/>
              </w:rPr>
              <w:t>The consent of the individual and</w:t>
            </w:r>
            <w:r>
              <w:rPr>
                <w:rFonts w:ascii="Arial" w:hAnsi="Arial" w:cs="Arial"/>
                <w:color w:val="000000"/>
              </w:rPr>
              <w:t xml:space="preserve"> i</w:t>
            </w:r>
            <w:r w:rsidRPr="005B15BC">
              <w:rPr>
                <w:rFonts w:ascii="Arial" w:hAnsi="Arial" w:cs="Arial"/>
                <w:color w:val="000000"/>
              </w:rPr>
              <w:t xml:space="preserve">f </w:t>
            </w:r>
            <w:r>
              <w:rPr>
                <w:rFonts w:ascii="Arial" w:hAnsi="Arial" w:cs="Arial"/>
                <w:color w:val="000000"/>
              </w:rPr>
              <w:t xml:space="preserve">the </w:t>
            </w:r>
            <w:r w:rsidRPr="005B15BC">
              <w:rPr>
                <w:rFonts w:ascii="Arial" w:hAnsi="Arial" w:cs="Arial"/>
                <w:color w:val="000000"/>
              </w:rPr>
              <w:t>individual over 16 years of age and not competent</w:t>
            </w:r>
            <w:r>
              <w:rPr>
                <w:rFonts w:ascii="Arial" w:hAnsi="Arial" w:cs="Arial"/>
                <w:color w:val="000000"/>
              </w:rPr>
              <w:t xml:space="preserve"> to consent</w:t>
            </w:r>
            <w:r w:rsidRPr="005B15BC">
              <w:rPr>
                <w:rFonts w:ascii="Arial" w:hAnsi="Arial" w:cs="Arial"/>
                <w:color w:val="000000"/>
              </w:rPr>
              <w:t>, record action taken</w:t>
            </w:r>
          </w:p>
          <w:p w14:paraId="0DFD1F8E"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Name of individual, address, date of birth </w:t>
            </w:r>
          </w:p>
          <w:p w14:paraId="42B0379E"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strike/>
                <w:color w:val="000000"/>
              </w:rPr>
            </w:pPr>
            <w:r w:rsidRPr="000D7528">
              <w:rPr>
                <w:rFonts w:ascii="Arial" w:hAnsi="Arial" w:cs="Arial"/>
                <w:color w:val="000000"/>
              </w:rPr>
              <w:t>GP contact details where appropriate</w:t>
            </w:r>
          </w:p>
          <w:p w14:paraId="7D52889A"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Relevant past and present medical history, including medication and family history. </w:t>
            </w:r>
          </w:p>
          <w:p w14:paraId="624F84D6"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Examination finding where relevant </w:t>
            </w:r>
          </w:p>
          <w:p w14:paraId="1FA8008D"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known allergies</w:t>
            </w:r>
          </w:p>
          <w:p w14:paraId="0B29EFE7"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Name of registered health professional</w:t>
            </w:r>
          </w:p>
          <w:p w14:paraId="62E519C1"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Name of medication supplied </w:t>
            </w:r>
          </w:p>
          <w:p w14:paraId="0A19DABB"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lastRenderedPageBreak/>
              <w:t>Date of supply</w:t>
            </w:r>
          </w:p>
          <w:p w14:paraId="1CE8F4B4"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strike/>
                <w:color w:val="000000"/>
              </w:rPr>
            </w:pPr>
            <w:r w:rsidRPr="000D7528">
              <w:rPr>
                <w:rFonts w:ascii="Arial" w:hAnsi="Arial" w:cs="Arial"/>
                <w:color w:val="000000"/>
              </w:rPr>
              <w:t>Dose supplied</w:t>
            </w:r>
          </w:p>
          <w:p w14:paraId="30005CC8"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Quantity supplied</w:t>
            </w:r>
          </w:p>
          <w:p w14:paraId="18F431C3"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Advice given, including advice given if excluded or declines treatment</w:t>
            </w:r>
          </w:p>
          <w:p w14:paraId="6B25B5CB"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Details of any adverse drug reactions and actions taken</w:t>
            </w:r>
          </w:p>
          <w:p w14:paraId="20BC102E"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 xml:space="preserve">Advice given about the medication including side effects, benefits, and when and what to do if any concerns </w:t>
            </w:r>
          </w:p>
          <w:p w14:paraId="69C569AF"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referral arrangements made</w:t>
            </w:r>
          </w:p>
          <w:p w14:paraId="55744886"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Any supply outside the terms of the product marketing authorisation</w:t>
            </w:r>
          </w:p>
          <w:p w14:paraId="690F105F" w14:textId="77777777" w:rsidR="00FC18B8" w:rsidRPr="000D7528" w:rsidRDefault="00FC18B8" w:rsidP="005A7498">
            <w:pPr>
              <w:widowControl w:val="0"/>
              <w:numPr>
                <w:ilvl w:val="0"/>
                <w:numId w:val="45"/>
              </w:numPr>
              <w:overflowPunct w:val="0"/>
              <w:autoSpaceDE w:val="0"/>
              <w:autoSpaceDN w:val="0"/>
              <w:adjustRightInd w:val="0"/>
              <w:spacing w:after="0" w:line="240" w:lineRule="auto"/>
              <w:textAlignment w:val="baseline"/>
              <w:rPr>
                <w:rFonts w:ascii="Arial" w:hAnsi="Arial" w:cs="Arial"/>
                <w:color w:val="000000"/>
              </w:rPr>
            </w:pPr>
            <w:r w:rsidRPr="000D7528">
              <w:rPr>
                <w:rFonts w:ascii="Arial" w:hAnsi="Arial" w:cs="Arial"/>
                <w:color w:val="000000"/>
              </w:rPr>
              <w:t>Recorded that supply is via Patient Group Direction (PGD)</w:t>
            </w:r>
          </w:p>
          <w:p w14:paraId="01F40899" w14:textId="77777777" w:rsidR="00FC18B8" w:rsidRPr="000D7528" w:rsidRDefault="00FC18B8" w:rsidP="005A7498">
            <w:pPr>
              <w:widowControl w:val="0"/>
              <w:spacing w:after="0" w:line="240" w:lineRule="auto"/>
              <w:rPr>
                <w:rFonts w:ascii="Arial" w:hAnsi="Arial" w:cs="Arial"/>
                <w:color w:val="000000"/>
              </w:rPr>
            </w:pPr>
          </w:p>
          <w:p w14:paraId="09FA8145" w14:textId="77777777" w:rsidR="00FC18B8" w:rsidRPr="000D7528" w:rsidRDefault="00FC18B8" w:rsidP="005A7498">
            <w:pPr>
              <w:spacing w:after="0" w:line="240" w:lineRule="auto"/>
              <w:rPr>
                <w:rFonts w:ascii="Arial" w:hAnsi="Arial" w:cs="Arial"/>
              </w:rPr>
            </w:pPr>
            <w:r w:rsidRPr="000D7528">
              <w:rPr>
                <w:rFonts w:ascii="Arial" w:hAnsi="Arial" w:cs="Arial"/>
              </w:rPr>
              <w:t xml:space="preserve">Records should be signed and dated (or a password controlled e-records) and securely kept for a defined period in line with local policy. </w:t>
            </w:r>
          </w:p>
          <w:p w14:paraId="6A3DE392" w14:textId="77777777" w:rsidR="00FC18B8" w:rsidRPr="000D7528" w:rsidRDefault="00FC18B8" w:rsidP="005A7498">
            <w:pPr>
              <w:spacing w:after="0" w:line="240" w:lineRule="auto"/>
              <w:rPr>
                <w:rFonts w:ascii="Arial" w:hAnsi="Arial" w:cs="Arial"/>
              </w:rPr>
            </w:pPr>
          </w:p>
          <w:p w14:paraId="63504F04" w14:textId="77777777" w:rsidR="00FC18B8" w:rsidRPr="000D7528" w:rsidRDefault="00FC18B8" w:rsidP="005A7498">
            <w:pPr>
              <w:overflowPunct w:val="0"/>
              <w:autoSpaceDE w:val="0"/>
              <w:autoSpaceDN w:val="0"/>
              <w:adjustRightInd w:val="0"/>
              <w:spacing w:after="0" w:line="240" w:lineRule="auto"/>
              <w:textAlignment w:val="baseline"/>
              <w:rPr>
                <w:rFonts w:ascii="Arial" w:hAnsi="Arial" w:cs="Arial"/>
              </w:rPr>
            </w:pPr>
            <w:r w:rsidRPr="000D7528">
              <w:rPr>
                <w:rFonts w:ascii="Arial" w:hAnsi="Arial" w:cs="Arial"/>
              </w:rPr>
              <w:t>All records should be clear, legible and contemporaneous.</w:t>
            </w:r>
          </w:p>
          <w:p w14:paraId="1AF42818" w14:textId="77777777" w:rsidR="00FC18B8" w:rsidRPr="000D7528" w:rsidRDefault="00FC18B8" w:rsidP="005A7498">
            <w:pPr>
              <w:overflowPunct w:val="0"/>
              <w:autoSpaceDE w:val="0"/>
              <w:autoSpaceDN w:val="0"/>
              <w:adjustRightInd w:val="0"/>
              <w:spacing w:after="0" w:line="240" w:lineRule="auto"/>
              <w:textAlignment w:val="baseline"/>
              <w:rPr>
                <w:rFonts w:ascii="Arial" w:hAnsi="Arial" w:cs="Arial"/>
              </w:rPr>
            </w:pPr>
          </w:p>
          <w:p w14:paraId="23B2D9D1" w14:textId="77777777" w:rsidR="00FC18B8" w:rsidRPr="000D7528" w:rsidRDefault="00FC18B8" w:rsidP="005A7498">
            <w:pPr>
              <w:autoSpaceDE w:val="0"/>
              <w:autoSpaceDN w:val="0"/>
              <w:adjustRightInd w:val="0"/>
              <w:spacing w:after="0" w:line="240" w:lineRule="auto"/>
              <w:rPr>
                <w:rFonts w:ascii="Arial" w:hAnsi="Arial" w:cs="Arial"/>
              </w:rPr>
            </w:pPr>
            <w:r w:rsidRPr="000D7528">
              <w:rPr>
                <w:rFonts w:ascii="Arial" w:hAnsi="Arial" w:cs="Arial"/>
              </w:rPr>
              <w:t>A record of all individuals receiving treatment under this PGD should also be kept for audit purposes in accordance with local policy.</w:t>
            </w:r>
          </w:p>
        </w:tc>
      </w:tr>
    </w:tbl>
    <w:p w14:paraId="64C2E605" w14:textId="77777777" w:rsidR="005A7498" w:rsidRDefault="005A7498" w:rsidP="005A7498">
      <w:pPr>
        <w:tabs>
          <w:tab w:val="left" w:pos="0"/>
          <w:tab w:val="center" w:pos="4153"/>
          <w:tab w:val="right" w:pos="8306"/>
        </w:tabs>
        <w:overflowPunct w:val="0"/>
        <w:autoSpaceDE w:val="0"/>
        <w:autoSpaceDN w:val="0"/>
        <w:adjustRightInd w:val="0"/>
        <w:textAlignment w:val="baseline"/>
        <w:rPr>
          <w:rFonts w:ascii="Arial" w:hAnsi="Arial" w:cs="Arial"/>
          <w:b/>
        </w:rPr>
      </w:pPr>
    </w:p>
    <w:p w14:paraId="5FB39939" w14:textId="0E762054" w:rsidR="00D10926" w:rsidRPr="00D10926" w:rsidRDefault="00D10926" w:rsidP="00E24288">
      <w:pPr>
        <w:numPr>
          <w:ilvl w:val="0"/>
          <w:numId w:val="21"/>
        </w:numPr>
        <w:tabs>
          <w:tab w:val="left" w:pos="0"/>
          <w:tab w:val="center" w:pos="4153"/>
          <w:tab w:val="right" w:pos="8306"/>
        </w:tabs>
        <w:overflowPunct w:val="0"/>
        <w:autoSpaceDE w:val="0"/>
        <w:autoSpaceDN w:val="0"/>
        <w:adjustRightInd w:val="0"/>
        <w:ind w:left="142" w:hanging="568"/>
        <w:textAlignment w:val="baseline"/>
        <w:rPr>
          <w:rFonts w:ascii="Arial" w:hAnsi="Arial" w:cs="Arial"/>
          <w:b/>
        </w:rPr>
      </w:pPr>
      <w:r w:rsidRPr="00D10926">
        <w:rPr>
          <w:rFonts w:ascii="Arial" w:hAnsi="Arial" w:cs="Arial"/>
          <w:b/>
        </w:rPr>
        <w:t>Key references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1"/>
      </w:tblGrid>
      <w:tr w:rsidR="000D7528" w:rsidRPr="000D7528" w14:paraId="105A9B80" w14:textId="77777777" w:rsidTr="003317CA">
        <w:tc>
          <w:tcPr>
            <w:tcW w:w="3261" w:type="dxa"/>
            <w:shd w:val="clear" w:color="auto" w:fill="D9D9D9"/>
          </w:tcPr>
          <w:p w14:paraId="014446B5" w14:textId="77777777" w:rsidR="000D7528" w:rsidRPr="000D7528" w:rsidRDefault="000D7528" w:rsidP="000D7528">
            <w:pPr>
              <w:overflowPunct w:val="0"/>
              <w:autoSpaceDE w:val="0"/>
              <w:autoSpaceDN w:val="0"/>
              <w:adjustRightInd w:val="0"/>
              <w:spacing w:before="60" w:after="60"/>
              <w:textAlignment w:val="baseline"/>
              <w:rPr>
                <w:rFonts w:ascii="Arial" w:hAnsi="Arial" w:cs="Arial"/>
                <w:b/>
              </w:rPr>
            </w:pPr>
            <w:r w:rsidRPr="000D7528">
              <w:rPr>
                <w:rFonts w:ascii="Arial" w:hAnsi="Arial"/>
                <w:b/>
                <w:szCs w:val="20"/>
              </w:rPr>
              <w:br w:type="page"/>
            </w:r>
            <w:r w:rsidRPr="000D7528">
              <w:rPr>
                <w:rFonts w:ascii="Arial" w:hAnsi="Arial" w:cs="Arial"/>
                <w:b/>
              </w:rPr>
              <w:t xml:space="preserve">Key references </w:t>
            </w:r>
            <w:r>
              <w:rPr>
                <w:rFonts w:ascii="Arial" w:hAnsi="Arial" w:cs="Arial"/>
                <w:b/>
              </w:rPr>
              <w:t xml:space="preserve">(accessed </w:t>
            </w:r>
            <w:r w:rsidR="00462109" w:rsidRPr="00CA3820">
              <w:rPr>
                <w:rFonts w:ascii="Arial" w:hAnsi="Arial" w:cs="Arial"/>
                <w:b/>
              </w:rPr>
              <w:t>July 2024</w:t>
            </w:r>
            <w:r w:rsidRPr="00CA3820">
              <w:rPr>
                <w:rFonts w:ascii="Arial" w:hAnsi="Arial" w:cs="Arial"/>
                <w:b/>
              </w:rPr>
              <w:t>)</w:t>
            </w:r>
          </w:p>
        </w:tc>
        <w:tc>
          <w:tcPr>
            <w:tcW w:w="6521" w:type="dxa"/>
          </w:tcPr>
          <w:p w14:paraId="33594C2C" w14:textId="77777777" w:rsidR="000D7528" w:rsidRPr="005A7498" w:rsidRDefault="000D7528"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lang w:val="en-US"/>
              </w:rPr>
            </w:pPr>
            <w:r w:rsidRPr="005A7498">
              <w:rPr>
                <w:rFonts w:ascii="Arial" w:hAnsi="Arial" w:cs="Arial"/>
                <w:sz w:val="20"/>
                <w:szCs w:val="20"/>
                <w:lang w:val="en-US"/>
              </w:rPr>
              <w:t xml:space="preserve">Electronic Medicines Compendium </w:t>
            </w:r>
            <w:hyperlink r:id="rId22" w:history="1">
              <w:r w:rsidRPr="005A7498">
                <w:rPr>
                  <w:rFonts w:ascii="Arial" w:hAnsi="Arial" w:cs="Arial"/>
                  <w:color w:val="0000FF"/>
                  <w:sz w:val="20"/>
                  <w:szCs w:val="20"/>
                  <w:u w:val="single"/>
                  <w:lang w:val="en-US"/>
                </w:rPr>
                <w:t>http://www.medicines.org.uk/</w:t>
              </w:r>
            </w:hyperlink>
          </w:p>
          <w:p w14:paraId="03CBF33B" w14:textId="77777777" w:rsidR="000D7528" w:rsidRPr="005A7498" w:rsidRDefault="000D7528"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lang w:val="en-US"/>
              </w:rPr>
            </w:pPr>
            <w:r w:rsidRPr="005A7498">
              <w:rPr>
                <w:rFonts w:ascii="Arial" w:hAnsi="Arial" w:cs="Arial"/>
                <w:sz w:val="20"/>
                <w:szCs w:val="20"/>
                <w:lang w:val="en-US"/>
              </w:rPr>
              <w:t xml:space="preserve">Electronic BNF </w:t>
            </w:r>
            <w:hyperlink r:id="rId23" w:history="1">
              <w:r w:rsidRPr="005A7498">
                <w:rPr>
                  <w:rFonts w:ascii="Arial" w:hAnsi="Arial" w:cs="Arial"/>
                  <w:color w:val="0000FF"/>
                  <w:sz w:val="20"/>
                  <w:szCs w:val="20"/>
                  <w:u w:val="single"/>
                  <w:lang w:val="en-US"/>
                </w:rPr>
                <w:t>https://bnf.nice.org.uk/</w:t>
              </w:r>
            </w:hyperlink>
            <w:r w:rsidRPr="005A7498">
              <w:rPr>
                <w:rFonts w:ascii="Arial" w:hAnsi="Arial" w:cs="Arial"/>
                <w:sz w:val="20"/>
                <w:szCs w:val="20"/>
                <w:lang w:val="en-US"/>
              </w:rPr>
              <w:t xml:space="preserve"> </w:t>
            </w:r>
          </w:p>
          <w:p w14:paraId="423EC2BD" w14:textId="77777777" w:rsidR="000D7528" w:rsidRPr="005A7498" w:rsidRDefault="000D7528"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lang w:val="en-US"/>
              </w:rPr>
            </w:pPr>
            <w:r w:rsidRPr="005A7498">
              <w:rPr>
                <w:rFonts w:ascii="Arial" w:hAnsi="Arial" w:cs="Arial"/>
                <w:sz w:val="20"/>
                <w:szCs w:val="20"/>
                <w:lang w:val="en-US"/>
              </w:rPr>
              <w:t xml:space="preserve">NICE Medicines practice guideline “Patient Group Directions”   </w:t>
            </w:r>
            <w:hyperlink r:id="rId24" w:history="1">
              <w:r w:rsidRPr="005A7498">
                <w:rPr>
                  <w:rFonts w:ascii="Arial" w:hAnsi="Arial" w:cs="Arial"/>
                  <w:color w:val="0000FF"/>
                  <w:sz w:val="20"/>
                  <w:szCs w:val="20"/>
                  <w:u w:val="single"/>
                  <w:lang w:val="en-US"/>
                </w:rPr>
                <w:t>https://www.nice.org.uk/guidance/mpg2</w:t>
              </w:r>
            </w:hyperlink>
          </w:p>
          <w:p w14:paraId="7CC19380" w14:textId="77777777" w:rsidR="000D7528" w:rsidRPr="005A7498" w:rsidRDefault="001B34D5"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lang w:val="en-US"/>
              </w:rPr>
            </w:pPr>
            <w:r w:rsidRPr="005A7498">
              <w:rPr>
                <w:rFonts w:ascii="Arial" w:hAnsi="Arial" w:cs="Arial"/>
                <w:sz w:val="20"/>
                <w:szCs w:val="20"/>
                <w:lang w:val="en-US"/>
              </w:rPr>
              <w:t xml:space="preserve">Hypertension in pregnancy: diagnosis and management </w:t>
            </w:r>
            <w:hyperlink r:id="rId25" w:history="1">
              <w:r w:rsidRPr="005A7498">
                <w:rPr>
                  <w:rStyle w:val="Hyperlink"/>
                  <w:rFonts w:ascii="Arial" w:hAnsi="Arial" w:cs="Arial"/>
                  <w:sz w:val="20"/>
                  <w:szCs w:val="20"/>
                  <w:lang w:val="en-US"/>
                </w:rPr>
                <w:t>https://www.nice.org.uk/guidance/ng133/resources/hypertension-in-pregnancy-diagnosis-and-management-pdf-66141717671365</w:t>
              </w:r>
            </w:hyperlink>
            <w:r w:rsidRPr="005A7498">
              <w:rPr>
                <w:rFonts w:ascii="Arial" w:hAnsi="Arial" w:cs="Arial"/>
                <w:sz w:val="20"/>
                <w:szCs w:val="20"/>
                <w:lang w:val="en-US"/>
              </w:rPr>
              <w:t xml:space="preserve"> </w:t>
            </w:r>
          </w:p>
          <w:p w14:paraId="29449EEC" w14:textId="77777777" w:rsidR="000D7528" w:rsidRPr="005A7498" w:rsidRDefault="00D37ACC"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rPr>
            </w:pPr>
            <w:r w:rsidRPr="005A7498">
              <w:rPr>
                <w:rFonts w:ascii="Arial" w:hAnsi="Arial" w:cs="Arial"/>
                <w:sz w:val="20"/>
                <w:szCs w:val="20"/>
              </w:rPr>
              <w:t xml:space="preserve">Maternal, Newborn and Infant Clinical Outcome Review Programme Saving Lives, Improving Mothers’ Care Lessons learned to inform maternity care from the UK and Ireland Confidential Enquiries into Maternal Deaths and Morbidity 2015-17 </w:t>
            </w:r>
            <w:r w:rsidR="00F23145" w:rsidRPr="005A7498">
              <w:rPr>
                <w:rFonts w:ascii="Arial" w:hAnsi="Arial" w:cs="Arial"/>
                <w:sz w:val="20"/>
                <w:szCs w:val="20"/>
              </w:rPr>
              <w:t xml:space="preserve">MBRRACE Report </w:t>
            </w:r>
            <w:hyperlink r:id="rId26" w:history="1">
              <w:r w:rsidR="00215D14" w:rsidRPr="005A7498">
                <w:rPr>
                  <w:rStyle w:val="Hyperlink"/>
                  <w:rFonts w:ascii="Arial" w:hAnsi="Arial" w:cs="Arial"/>
                  <w:sz w:val="20"/>
                  <w:szCs w:val="20"/>
                </w:rPr>
                <w:t>https://www.npeu.ox.ac.uk/assets/downloads/mbrrace-uk/reports/MBRRACE-UK%20Maternal%20Report%202019%20-%20WEB%20VERSION.pdf</w:t>
              </w:r>
            </w:hyperlink>
            <w:r w:rsidR="00215D14" w:rsidRPr="005A7498">
              <w:rPr>
                <w:rFonts w:ascii="Arial" w:hAnsi="Arial" w:cs="Arial"/>
                <w:sz w:val="20"/>
                <w:szCs w:val="20"/>
              </w:rPr>
              <w:t xml:space="preserve"> </w:t>
            </w:r>
          </w:p>
          <w:p w14:paraId="48917C4E" w14:textId="77777777" w:rsidR="001D548E" w:rsidRPr="005A7498" w:rsidRDefault="001D548E" w:rsidP="005A7498">
            <w:pPr>
              <w:widowControl w:val="0"/>
              <w:numPr>
                <w:ilvl w:val="0"/>
                <w:numId w:val="14"/>
              </w:numPr>
              <w:overflowPunct w:val="0"/>
              <w:autoSpaceDE w:val="0"/>
              <w:autoSpaceDN w:val="0"/>
              <w:adjustRightInd w:val="0"/>
              <w:spacing w:after="0" w:line="240" w:lineRule="auto"/>
              <w:textAlignment w:val="baseline"/>
              <w:rPr>
                <w:rFonts w:ascii="Arial" w:hAnsi="Arial" w:cs="Arial"/>
                <w:sz w:val="20"/>
                <w:szCs w:val="20"/>
              </w:rPr>
            </w:pPr>
            <w:r w:rsidRPr="005A7498">
              <w:rPr>
                <w:rFonts w:ascii="Arial" w:hAnsi="Arial" w:cs="Arial"/>
                <w:sz w:val="20"/>
                <w:szCs w:val="20"/>
              </w:rPr>
              <w:t xml:space="preserve">Royal College of Obsetricians and Gynaecologists  The Investigation and Management of the Small–for–Gestational–Age Fetus Green–top Guideline No. 31 2nd Edition | February 2013 | Minor revisions – January 2014 </w:t>
            </w:r>
            <w:hyperlink r:id="rId27" w:history="1">
              <w:r w:rsidRPr="005A7498">
                <w:rPr>
                  <w:rStyle w:val="Hyperlink"/>
                  <w:rFonts w:ascii="Arial" w:hAnsi="Arial" w:cs="Arial"/>
                  <w:sz w:val="20"/>
                  <w:szCs w:val="20"/>
                </w:rPr>
                <w:t>https://www.rcog.org.uk/globalassets/documents/guidelines/gtg_31.pdf</w:t>
              </w:r>
            </w:hyperlink>
            <w:r w:rsidRPr="005A7498">
              <w:rPr>
                <w:rFonts w:ascii="Arial" w:hAnsi="Arial" w:cs="Arial"/>
                <w:sz w:val="20"/>
                <w:szCs w:val="20"/>
              </w:rPr>
              <w:t xml:space="preserve"> </w:t>
            </w:r>
          </w:p>
        </w:tc>
      </w:tr>
    </w:tbl>
    <w:p w14:paraId="7F0C24D5" w14:textId="77777777" w:rsidR="00D10926" w:rsidRPr="00D10926" w:rsidRDefault="00D10926" w:rsidP="00D10926">
      <w:pPr>
        <w:rPr>
          <w:rFonts w:ascii="Arial" w:hAnsi="Arial"/>
          <w:b/>
          <w:szCs w:val="20"/>
        </w:rPr>
      </w:pPr>
    </w:p>
    <w:p w14:paraId="0FEE0D72" w14:textId="77777777" w:rsidR="00D10926" w:rsidRDefault="00D10926" w:rsidP="005A7498">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00FC18B8" w:rsidRPr="00D10926">
        <w:rPr>
          <w:rFonts w:ascii="Arial" w:hAnsi="Arial" w:cs="Arial"/>
          <w:b/>
          <w:szCs w:val="20"/>
        </w:rPr>
        <w:t>Registered health professional authorisation sheet</w:t>
      </w:r>
      <w:r w:rsidR="00FC18B8">
        <w:rPr>
          <w:rFonts w:ascii="Arial" w:hAnsi="Arial" w:cs="Arial"/>
          <w:b/>
          <w:szCs w:val="20"/>
        </w:rPr>
        <w:t xml:space="preserve"> (example – local versions/electronic systems may be used)</w:t>
      </w:r>
    </w:p>
    <w:p w14:paraId="73C48369" w14:textId="77777777" w:rsidR="005A7498" w:rsidRPr="00D10926" w:rsidRDefault="005A7498" w:rsidP="005A7498">
      <w:pPr>
        <w:spacing w:after="0" w:line="240" w:lineRule="auto"/>
        <w:rPr>
          <w:rFonts w:ascii="Arial" w:hAnsi="Arial" w:cs="Arial"/>
          <w:b/>
          <w:szCs w:val="20"/>
        </w:rPr>
      </w:pPr>
    </w:p>
    <w:p w14:paraId="3A8690E0" w14:textId="77777777" w:rsidR="00D10926" w:rsidRDefault="00D10926" w:rsidP="005A7498">
      <w:pPr>
        <w:overflowPunct w:val="0"/>
        <w:autoSpaceDE w:val="0"/>
        <w:autoSpaceDN w:val="0"/>
        <w:adjustRightInd w:val="0"/>
        <w:spacing w:after="0" w:line="240" w:lineRule="auto"/>
        <w:textAlignment w:val="baseline"/>
        <w:rPr>
          <w:rFonts w:ascii="Arial" w:hAnsi="Arial" w:cs="Arial"/>
          <w:b/>
        </w:rPr>
      </w:pPr>
      <w:r w:rsidRPr="00D10926">
        <w:rPr>
          <w:rFonts w:ascii="Arial" w:hAnsi="Arial"/>
          <w:b/>
        </w:rPr>
        <w:t xml:space="preserve">PGD Name/Version            Valid from:                       Expiry: </w:t>
      </w:r>
      <w:r w:rsidRPr="00D10926">
        <w:rPr>
          <w:rFonts w:ascii="Arial" w:hAnsi="Arial" w:cs="Arial"/>
          <w:b/>
        </w:rPr>
        <w:t xml:space="preserve"> </w:t>
      </w:r>
    </w:p>
    <w:p w14:paraId="753F4475" w14:textId="77777777" w:rsidR="005A7498" w:rsidRPr="00D10926" w:rsidRDefault="005A7498" w:rsidP="005A7498">
      <w:pPr>
        <w:overflowPunct w:val="0"/>
        <w:autoSpaceDE w:val="0"/>
        <w:autoSpaceDN w:val="0"/>
        <w:adjustRightInd w:val="0"/>
        <w:spacing w:after="0" w:line="240" w:lineRule="auto"/>
        <w:textAlignment w:val="baseline"/>
        <w:rPr>
          <w:rFonts w:ascii="Arial" w:hAnsi="Arial"/>
          <w:b/>
        </w:rPr>
      </w:pPr>
    </w:p>
    <w:p w14:paraId="1B749706" w14:textId="77777777" w:rsidR="00D10926" w:rsidRDefault="00D10926" w:rsidP="005A7498">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48A26A1D" w14:textId="77777777" w:rsidR="005A7498" w:rsidRPr="00D10926" w:rsidRDefault="005A7498" w:rsidP="005A7498">
      <w:pPr>
        <w:spacing w:after="0" w:line="240" w:lineRule="auto"/>
        <w:rPr>
          <w:rFonts w:ascii="Arial" w:hAnsi="Arial"/>
        </w:rPr>
      </w:pPr>
    </w:p>
    <w:p w14:paraId="7ABD7B30" w14:textId="522BDEC4" w:rsidR="005A7498" w:rsidRPr="00D10926" w:rsidRDefault="00D10926" w:rsidP="005A7498">
      <w:pPr>
        <w:spacing w:after="0" w:line="240" w:lineRule="auto"/>
        <w:rPr>
          <w:rFonts w:ascii="Arial" w:hAnsi="Arial"/>
          <w:b/>
        </w:rPr>
      </w:pPr>
      <w:r w:rsidRPr="00D10926">
        <w:rPr>
          <w:rFonts w:ascii="Arial" w:hAnsi="Arial"/>
          <w:b/>
        </w:rPr>
        <w:t>Registered health professional</w:t>
      </w:r>
    </w:p>
    <w:p w14:paraId="1021EA60" w14:textId="77777777" w:rsidR="00D10926" w:rsidRDefault="00D10926" w:rsidP="005A7498">
      <w:pPr>
        <w:spacing w:after="0" w:line="240" w:lineRule="auto"/>
        <w:rPr>
          <w:rFonts w:ascii="Arial" w:hAnsi="Arial"/>
        </w:rPr>
      </w:pPr>
      <w:r w:rsidRPr="00D10926">
        <w:rPr>
          <w:rFonts w:ascii="Arial" w:hAnsi="Arial"/>
        </w:rPr>
        <w:t>By signing this patient group direction you are indicating that you agree to its contents and that you will work within it.</w:t>
      </w:r>
    </w:p>
    <w:p w14:paraId="04F20884" w14:textId="77777777" w:rsidR="005A7498" w:rsidRPr="00D10926" w:rsidRDefault="005A7498" w:rsidP="005A7498">
      <w:pPr>
        <w:spacing w:after="0" w:line="240" w:lineRule="auto"/>
        <w:rPr>
          <w:rFonts w:ascii="Arial" w:hAnsi="Arial"/>
        </w:rPr>
      </w:pPr>
    </w:p>
    <w:p w14:paraId="00291668" w14:textId="77777777" w:rsidR="00D10926" w:rsidRDefault="00D10926" w:rsidP="005A7498">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50339A9E" w14:textId="77777777" w:rsidR="005A7498" w:rsidRPr="00D10926" w:rsidRDefault="005A7498" w:rsidP="005A7498">
      <w:pPr>
        <w:overflowPunct w:val="0"/>
        <w:autoSpaceDE w:val="0"/>
        <w:autoSpaceDN w:val="0"/>
        <w:adjustRightInd w:val="0"/>
        <w:spacing w:after="0" w:line="240" w:lineRule="auto"/>
        <w:textAlignment w:val="baseline"/>
        <w:rPr>
          <w:rFonts w:ascii="Arial" w:hAnsi="Arial" w:cs="Arial"/>
        </w:rPr>
      </w:pPr>
    </w:p>
    <w:p w14:paraId="434D49BB" w14:textId="77777777" w:rsidR="00D10926" w:rsidRDefault="00D10926" w:rsidP="005A7498">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C0ADA47" w14:textId="77777777" w:rsidR="005A7498" w:rsidRPr="00D10926" w:rsidRDefault="005A7498" w:rsidP="005A7498">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666EEE78" w14:textId="77777777" w:rsidTr="005718CD">
        <w:tc>
          <w:tcPr>
            <w:tcW w:w="9747" w:type="dxa"/>
            <w:gridSpan w:val="4"/>
            <w:shd w:val="clear" w:color="auto" w:fill="D9D9D9"/>
          </w:tcPr>
          <w:p w14:paraId="07125C63" w14:textId="77777777" w:rsidR="00D10926" w:rsidRPr="00D10926" w:rsidRDefault="00D10926" w:rsidP="005A7498">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64FEBC43" w14:textId="77777777" w:rsidTr="005718CD">
        <w:tc>
          <w:tcPr>
            <w:tcW w:w="2518" w:type="dxa"/>
            <w:shd w:val="clear" w:color="auto" w:fill="D9D9D9"/>
          </w:tcPr>
          <w:p w14:paraId="48BF6DC0"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72E237C3"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B822BF3"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BDCE9B5"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0949EF0E" w14:textId="77777777" w:rsidTr="005718CD">
        <w:tc>
          <w:tcPr>
            <w:tcW w:w="2518" w:type="dxa"/>
            <w:shd w:val="clear" w:color="auto" w:fill="auto"/>
          </w:tcPr>
          <w:p w14:paraId="1B894BC1" w14:textId="77777777" w:rsidR="00D10926" w:rsidRDefault="00D10926" w:rsidP="005A7498">
            <w:pPr>
              <w:spacing w:after="0" w:line="240" w:lineRule="auto"/>
              <w:jc w:val="center"/>
              <w:rPr>
                <w:rFonts w:ascii="Arial" w:hAnsi="Arial" w:cs="Arial"/>
                <w:color w:val="000000"/>
              </w:rPr>
            </w:pPr>
          </w:p>
          <w:p w14:paraId="7D2BF6CA"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1AA78EC2"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291C6731"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41AF9DEA" w14:textId="77777777" w:rsidR="00D10926" w:rsidRPr="00D10926" w:rsidRDefault="00D10926" w:rsidP="005A7498">
            <w:pPr>
              <w:spacing w:after="0" w:line="240" w:lineRule="auto"/>
              <w:jc w:val="center"/>
              <w:rPr>
                <w:rFonts w:ascii="Arial" w:hAnsi="Arial" w:cs="Arial"/>
                <w:color w:val="000000"/>
              </w:rPr>
            </w:pPr>
          </w:p>
        </w:tc>
      </w:tr>
      <w:tr w:rsidR="00D10926" w:rsidRPr="00D10926" w14:paraId="04056EC2" w14:textId="77777777" w:rsidTr="005718CD">
        <w:tc>
          <w:tcPr>
            <w:tcW w:w="2518" w:type="dxa"/>
            <w:shd w:val="clear" w:color="auto" w:fill="auto"/>
          </w:tcPr>
          <w:p w14:paraId="7464A5C7" w14:textId="77777777" w:rsidR="00D10926" w:rsidRDefault="00D10926" w:rsidP="005A7498">
            <w:pPr>
              <w:spacing w:after="0" w:line="240" w:lineRule="auto"/>
              <w:jc w:val="center"/>
              <w:rPr>
                <w:rFonts w:ascii="Arial" w:hAnsi="Arial" w:cs="Arial"/>
                <w:color w:val="000000"/>
              </w:rPr>
            </w:pPr>
          </w:p>
          <w:p w14:paraId="5438BE40"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1FE779F0"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0E3DBA1E"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7119C0C6" w14:textId="77777777" w:rsidR="00D10926" w:rsidRPr="00D10926" w:rsidRDefault="00D10926" w:rsidP="005A7498">
            <w:pPr>
              <w:spacing w:after="0" w:line="240" w:lineRule="auto"/>
              <w:jc w:val="center"/>
              <w:rPr>
                <w:rFonts w:ascii="Arial" w:hAnsi="Arial" w:cs="Arial"/>
                <w:color w:val="000000"/>
              </w:rPr>
            </w:pPr>
          </w:p>
        </w:tc>
      </w:tr>
      <w:tr w:rsidR="00D10926" w:rsidRPr="00D10926" w14:paraId="228302C9" w14:textId="77777777" w:rsidTr="00C62850">
        <w:trPr>
          <w:trHeight w:val="40"/>
        </w:trPr>
        <w:tc>
          <w:tcPr>
            <w:tcW w:w="2518" w:type="dxa"/>
            <w:shd w:val="clear" w:color="auto" w:fill="auto"/>
          </w:tcPr>
          <w:p w14:paraId="5F76C1A5" w14:textId="77777777" w:rsidR="00D10926" w:rsidRDefault="00D10926" w:rsidP="005A7498">
            <w:pPr>
              <w:spacing w:after="0" w:line="240" w:lineRule="auto"/>
              <w:rPr>
                <w:rFonts w:ascii="Arial" w:hAnsi="Arial" w:cs="Arial"/>
                <w:color w:val="000000"/>
              </w:rPr>
            </w:pPr>
          </w:p>
          <w:p w14:paraId="69EFC77B" w14:textId="77777777" w:rsidR="00C62850" w:rsidRPr="00D10926" w:rsidRDefault="00C62850" w:rsidP="005A7498">
            <w:pPr>
              <w:spacing w:after="0" w:line="240" w:lineRule="auto"/>
              <w:rPr>
                <w:rFonts w:ascii="Arial" w:hAnsi="Arial" w:cs="Arial"/>
                <w:color w:val="000000"/>
              </w:rPr>
            </w:pPr>
          </w:p>
        </w:tc>
        <w:tc>
          <w:tcPr>
            <w:tcW w:w="3119" w:type="dxa"/>
            <w:shd w:val="clear" w:color="auto" w:fill="auto"/>
          </w:tcPr>
          <w:p w14:paraId="2EC4B325"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4B1956C7"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2622DCF2" w14:textId="77777777" w:rsidR="00D10926" w:rsidRPr="00D10926" w:rsidRDefault="00D10926" w:rsidP="005A7498">
            <w:pPr>
              <w:spacing w:after="0" w:line="240" w:lineRule="auto"/>
              <w:jc w:val="center"/>
              <w:rPr>
                <w:rFonts w:ascii="Arial" w:hAnsi="Arial" w:cs="Arial"/>
                <w:color w:val="000000"/>
              </w:rPr>
            </w:pPr>
          </w:p>
        </w:tc>
      </w:tr>
      <w:tr w:rsidR="00D10926" w:rsidRPr="00D10926" w14:paraId="2946FDBB" w14:textId="77777777" w:rsidTr="005718CD">
        <w:tc>
          <w:tcPr>
            <w:tcW w:w="2518" w:type="dxa"/>
            <w:shd w:val="clear" w:color="auto" w:fill="auto"/>
          </w:tcPr>
          <w:p w14:paraId="170EAED1" w14:textId="77777777" w:rsidR="00D10926" w:rsidRDefault="00D10926" w:rsidP="005A7498">
            <w:pPr>
              <w:spacing w:after="0" w:line="240" w:lineRule="auto"/>
              <w:jc w:val="center"/>
              <w:rPr>
                <w:rFonts w:ascii="Arial" w:hAnsi="Arial" w:cs="Arial"/>
                <w:color w:val="000000"/>
              </w:rPr>
            </w:pPr>
          </w:p>
          <w:p w14:paraId="29553A94"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45B51183"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4E6DAEF2"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60DD6A61" w14:textId="77777777" w:rsidR="00D10926" w:rsidRPr="00D10926" w:rsidRDefault="00D10926" w:rsidP="005A7498">
            <w:pPr>
              <w:spacing w:after="0" w:line="240" w:lineRule="auto"/>
              <w:jc w:val="center"/>
              <w:rPr>
                <w:rFonts w:ascii="Arial" w:hAnsi="Arial" w:cs="Arial"/>
                <w:color w:val="000000"/>
              </w:rPr>
            </w:pPr>
          </w:p>
        </w:tc>
      </w:tr>
      <w:tr w:rsidR="00D10926" w:rsidRPr="00D10926" w14:paraId="6EEE9A03" w14:textId="77777777" w:rsidTr="005718CD">
        <w:tc>
          <w:tcPr>
            <w:tcW w:w="2518" w:type="dxa"/>
            <w:shd w:val="clear" w:color="auto" w:fill="auto"/>
          </w:tcPr>
          <w:p w14:paraId="2380B764" w14:textId="77777777" w:rsidR="00D10926" w:rsidRDefault="00D10926" w:rsidP="005A7498">
            <w:pPr>
              <w:spacing w:after="0" w:line="240" w:lineRule="auto"/>
              <w:jc w:val="center"/>
              <w:rPr>
                <w:rFonts w:ascii="Arial" w:hAnsi="Arial" w:cs="Arial"/>
                <w:color w:val="000000"/>
              </w:rPr>
            </w:pPr>
          </w:p>
          <w:p w14:paraId="1C08439C"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041667B4"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6A95286C"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773CB4BC" w14:textId="77777777" w:rsidR="00D10926" w:rsidRPr="00D10926" w:rsidRDefault="00D10926" w:rsidP="005A7498">
            <w:pPr>
              <w:spacing w:after="0" w:line="240" w:lineRule="auto"/>
              <w:jc w:val="center"/>
              <w:rPr>
                <w:rFonts w:ascii="Arial" w:hAnsi="Arial" w:cs="Arial"/>
                <w:color w:val="000000"/>
              </w:rPr>
            </w:pPr>
          </w:p>
        </w:tc>
      </w:tr>
      <w:tr w:rsidR="00D10926" w:rsidRPr="00D10926" w14:paraId="0FC2B56B" w14:textId="77777777" w:rsidTr="005718CD">
        <w:tc>
          <w:tcPr>
            <w:tcW w:w="2518" w:type="dxa"/>
            <w:shd w:val="clear" w:color="auto" w:fill="auto"/>
          </w:tcPr>
          <w:p w14:paraId="52975FE6" w14:textId="77777777" w:rsidR="00D10926" w:rsidRDefault="00D10926" w:rsidP="005A7498">
            <w:pPr>
              <w:spacing w:after="0" w:line="240" w:lineRule="auto"/>
              <w:jc w:val="center"/>
              <w:rPr>
                <w:rFonts w:ascii="Arial" w:hAnsi="Arial" w:cs="Arial"/>
                <w:color w:val="000000"/>
              </w:rPr>
            </w:pPr>
          </w:p>
          <w:p w14:paraId="1446C94F"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7AA58B80"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3BE5A95B"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749EEBA3" w14:textId="77777777" w:rsidR="00D10926" w:rsidRPr="00D10926" w:rsidRDefault="00D10926" w:rsidP="005A7498">
            <w:pPr>
              <w:spacing w:after="0" w:line="240" w:lineRule="auto"/>
              <w:jc w:val="center"/>
              <w:rPr>
                <w:rFonts w:ascii="Arial" w:hAnsi="Arial" w:cs="Arial"/>
                <w:color w:val="000000"/>
              </w:rPr>
            </w:pPr>
          </w:p>
        </w:tc>
      </w:tr>
      <w:tr w:rsidR="00D10926" w:rsidRPr="00D10926" w14:paraId="59A47F46" w14:textId="77777777" w:rsidTr="005718CD">
        <w:tc>
          <w:tcPr>
            <w:tcW w:w="2518" w:type="dxa"/>
            <w:shd w:val="clear" w:color="auto" w:fill="auto"/>
          </w:tcPr>
          <w:p w14:paraId="3BB67E3F" w14:textId="77777777" w:rsidR="00D10926" w:rsidRDefault="00D10926" w:rsidP="005A7498">
            <w:pPr>
              <w:spacing w:after="0" w:line="240" w:lineRule="auto"/>
              <w:jc w:val="center"/>
              <w:rPr>
                <w:rFonts w:ascii="Arial" w:hAnsi="Arial" w:cs="Arial"/>
                <w:color w:val="000000"/>
              </w:rPr>
            </w:pPr>
          </w:p>
          <w:p w14:paraId="63160F73"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605BA370" w14:textId="77777777" w:rsidR="00D10926" w:rsidRPr="00D10926" w:rsidRDefault="00D10926" w:rsidP="005A7498">
            <w:pPr>
              <w:spacing w:after="0" w:line="240" w:lineRule="auto"/>
              <w:jc w:val="center"/>
              <w:rPr>
                <w:rFonts w:ascii="Arial" w:hAnsi="Arial" w:cs="Arial"/>
                <w:color w:val="000000"/>
              </w:rPr>
            </w:pPr>
          </w:p>
        </w:tc>
        <w:tc>
          <w:tcPr>
            <w:tcW w:w="2693" w:type="dxa"/>
            <w:shd w:val="clear" w:color="auto" w:fill="auto"/>
          </w:tcPr>
          <w:p w14:paraId="3699F8C6" w14:textId="77777777" w:rsidR="00D10926" w:rsidRPr="00D10926" w:rsidRDefault="00D10926" w:rsidP="005A7498">
            <w:pPr>
              <w:spacing w:after="0" w:line="240" w:lineRule="auto"/>
              <w:jc w:val="center"/>
              <w:rPr>
                <w:rFonts w:ascii="Arial" w:hAnsi="Arial" w:cs="Arial"/>
                <w:color w:val="000000"/>
              </w:rPr>
            </w:pPr>
          </w:p>
        </w:tc>
        <w:tc>
          <w:tcPr>
            <w:tcW w:w="1417" w:type="dxa"/>
            <w:shd w:val="clear" w:color="auto" w:fill="auto"/>
          </w:tcPr>
          <w:p w14:paraId="4BE98BC9" w14:textId="77777777" w:rsidR="00D10926" w:rsidRPr="00D10926" w:rsidRDefault="00D10926" w:rsidP="005A7498">
            <w:pPr>
              <w:spacing w:after="0" w:line="240" w:lineRule="auto"/>
              <w:jc w:val="center"/>
              <w:rPr>
                <w:rFonts w:ascii="Arial" w:hAnsi="Arial" w:cs="Arial"/>
                <w:color w:val="000000"/>
              </w:rPr>
            </w:pPr>
          </w:p>
        </w:tc>
      </w:tr>
    </w:tbl>
    <w:p w14:paraId="16B397CB" w14:textId="77777777" w:rsidR="00D10926" w:rsidRPr="00D10926" w:rsidRDefault="00D10926" w:rsidP="005A7498">
      <w:pPr>
        <w:overflowPunct w:val="0"/>
        <w:autoSpaceDE w:val="0"/>
        <w:autoSpaceDN w:val="0"/>
        <w:adjustRightInd w:val="0"/>
        <w:spacing w:after="0" w:line="240" w:lineRule="auto"/>
        <w:textAlignment w:val="baseline"/>
        <w:rPr>
          <w:rFonts w:ascii="Arial" w:hAnsi="Arial"/>
        </w:rPr>
      </w:pPr>
    </w:p>
    <w:p w14:paraId="02D307CA" w14:textId="77777777" w:rsidR="00D10926" w:rsidRDefault="00D10926" w:rsidP="005A7498">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p w14:paraId="5E115BBE" w14:textId="77777777" w:rsidR="005A7498" w:rsidRPr="00D10926" w:rsidRDefault="005A7498" w:rsidP="005A7498">
      <w:pPr>
        <w:overflowPunct w:val="0"/>
        <w:autoSpaceDE w:val="0"/>
        <w:autoSpaceDN w:val="0"/>
        <w:adjustRightInd w:val="0"/>
        <w:spacing w:after="0" w:line="240" w:lineRule="auto"/>
        <w:textAlignment w:val="baseline"/>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1586F6D8" w14:textId="77777777" w:rsidTr="005718CD">
        <w:tc>
          <w:tcPr>
            <w:tcW w:w="9747" w:type="dxa"/>
            <w:gridSpan w:val="4"/>
            <w:shd w:val="clear" w:color="auto" w:fill="D9D9D9"/>
          </w:tcPr>
          <w:p w14:paraId="74DE76F8"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798EABD0" w14:textId="77777777" w:rsidTr="005718CD">
        <w:tc>
          <w:tcPr>
            <w:tcW w:w="2518" w:type="dxa"/>
            <w:shd w:val="clear" w:color="auto" w:fill="D9D9D9"/>
          </w:tcPr>
          <w:p w14:paraId="75B8727D"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400D2430"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53322C2A"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46D52238" w14:textId="77777777" w:rsidR="00D10926" w:rsidRPr="00D10926" w:rsidRDefault="00D10926" w:rsidP="005A7498">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05679057" w14:textId="77777777" w:rsidTr="005718CD">
        <w:tc>
          <w:tcPr>
            <w:tcW w:w="2518" w:type="dxa"/>
            <w:shd w:val="clear" w:color="auto" w:fill="auto"/>
          </w:tcPr>
          <w:p w14:paraId="716232DC" w14:textId="77777777" w:rsidR="00D10926" w:rsidRDefault="00D10926" w:rsidP="005A7498">
            <w:pPr>
              <w:spacing w:after="0" w:line="240" w:lineRule="auto"/>
              <w:jc w:val="center"/>
              <w:rPr>
                <w:rFonts w:ascii="Arial" w:hAnsi="Arial" w:cs="Arial"/>
                <w:color w:val="000000"/>
              </w:rPr>
            </w:pPr>
          </w:p>
          <w:p w14:paraId="5F461C21" w14:textId="77777777" w:rsidR="00C62850" w:rsidRPr="00D10926" w:rsidRDefault="00C62850" w:rsidP="005A7498">
            <w:pPr>
              <w:spacing w:after="0" w:line="240" w:lineRule="auto"/>
              <w:jc w:val="center"/>
              <w:rPr>
                <w:rFonts w:ascii="Arial" w:hAnsi="Arial" w:cs="Arial"/>
                <w:color w:val="000000"/>
              </w:rPr>
            </w:pPr>
          </w:p>
        </w:tc>
        <w:tc>
          <w:tcPr>
            <w:tcW w:w="3119" w:type="dxa"/>
            <w:shd w:val="clear" w:color="auto" w:fill="auto"/>
          </w:tcPr>
          <w:p w14:paraId="1FB201B8" w14:textId="77777777" w:rsidR="00D10926" w:rsidRDefault="00D10926" w:rsidP="005A7498">
            <w:pPr>
              <w:spacing w:after="0" w:line="240" w:lineRule="auto"/>
              <w:jc w:val="center"/>
              <w:rPr>
                <w:rFonts w:ascii="Arial" w:hAnsi="Arial" w:cs="Arial"/>
                <w:color w:val="000000"/>
              </w:rPr>
            </w:pPr>
          </w:p>
          <w:p w14:paraId="0AF8C09F" w14:textId="77777777" w:rsidR="00C62850" w:rsidRPr="00D10926" w:rsidRDefault="00C62850" w:rsidP="005A7498">
            <w:pPr>
              <w:spacing w:after="0" w:line="240" w:lineRule="auto"/>
              <w:jc w:val="center"/>
              <w:rPr>
                <w:rFonts w:ascii="Arial" w:hAnsi="Arial" w:cs="Arial"/>
                <w:color w:val="000000"/>
              </w:rPr>
            </w:pPr>
          </w:p>
        </w:tc>
        <w:tc>
          <w:tcPr>
            <w:tcW w:w="2693" w:type="dxa"/>
            <w:shd w:val="clear" w:color="auto" w:fill="auto"/>
          </w:tcPr>
          <w:p w14:paraId="04023FE6" w14:textId="77777777" w:rsidR="00D10926" w:rsidRDefault="00D10926" w:rsidP="005A7498">
            <w:pPr>
              <w:spacing w:after="0" w:line="240" w:lineRule="auto"/>
              <w:jc w:val="center"/>
              <w:rPr>
                <w:rFonts w:ascii="Arial" w:hAnsi="Arial" w:cs="Arial"/>
                <w:color w:val="000000"/>
              </w:rPr>
            </w:pPr>
          </w:p>
          <w:p w14:paraId="655A0D81" w14:textId="77777777" w:rsidR="00C62850" w:rsidRPr="00D10926" w:rsidRDefault="00C62850" w:rsidP="005A7498">
            <w:pPr>
              <w:spacing w:after="0" w:line="240" w:lineRule="auto"/>
              <w:jc w:val="center"/>
              <w:rPr>
                <w:rFonts w:ascii="Arial" w:hAnsi="Arial" w:cs="Arial"/>
                <w:color w:val="000000"/>
              </w:rPr>
            </w:pPr>
          </w:p>
        </w:tc>
        <w:tc>
          <w:tcPr>
            <w:tcW w:w="1417" w:type="dxa"/>
            <w:shd w:val="clear" w:color="auto" w:fill="auto"/>
          </w:tcPr>
          <w:p w14:paraId="4AC4FB7C" w14:textId="77777777" w:rsidR="00D10926" w:rsidRDefault="00D10926" w:rsidP="005A7498">
            <w:pPr>
              <w:spacing w:after="0" w:line="240" w:lineRule="auto"/>
              <w:jc w:val="center"/>
              <w:rPr>
                <w:rFonts w:ascii="Arial" w:hAnsi="Arial" w:cs="Arial"/>
                <w:color w:val="000000"/>
              </w:rPr>
            </w:pPr>
          </w:p>
          <w:p w14:paraId="01F093ED" w14:textId="77777777" w:rsidR="00C62850" w:rsidRPr="00D10926" w:rsidRDefault="00C62850" w:rsidP="005A7498">
            <w:pPr>
              <w:spacing w:after="0" w:line="240" w:lineRule="auto"/>
              <w:jc w:val="center"/>
              <w:rPr>
                <w:rFonts w:ascii="Arial" w:hAnsi="Arial" w:cs="Arial"/>
                <w:color w:val="000000"/>
              </w:rPr>
            </w:pPr>
          </w:p>
        </w:tc>
      </w:tr>
    </w:tbl>
    <w:p w14:paraId="711917A5" w14:textId="77777777" w:rsidR="00D10926" w:rsidRPr="00D10926" w:rsidRDefault="00D10926" w:rsidP="005A7498">
      <w:pPr>
        <w:overflowPunct w:val="0"/>
        <w:autoSpaceDE w:val="0"/>
        <w:autoSpaceDN w:val="0"/>
        <w:adjustRightInd w:val="0"/>
        <w:spacing w:after="0" w:line="240" w:lineRule="auto"/>
        <w:textAlignment w:val="baseline"/>
        <w:rPr>
          <w:rFonts w:ascii="Arial" w:hAnsi="Arial"/>
          <w:b/>
        </w:rPr>
      </w:pPr>
      <w:r w:rsidRPr="00D10926">
        <w:rPr>
          <w:rFonts w:ascii="Arial" w:hAnsi="Arial"/>
          <w:b/>
        </w:rPr>
        <w:t>Note to authorising manager</w:t>
      </w:r>
    </w:p>
    <w:p w14:paraId="6AAD150F" w14:textId="77777777" w:rsidR="00D10926" w:rsidRPr="00D10926" w:rsidRDefault="00D10926" w:rsidP="005A7498">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0D0DC262" w14:textId="77777777" w:rsidR="00D10926" w:rsidRPr="00D10926" w:rsidRDefault="00D10926" w:rsidP="005A7498">
      <w:pPr>
        <w:spacing w:after="0" w:line="240" w:lineRule="auto"/>
        <w:rPr>
          <w:rFonts w:ascii="Arial" w:hAnsi="Arial"/>
        </w:rPr>
      </w:pPr>
      <w:r w:rsidRPr="00D10926">
        <w:rPr>
          <w:rFonts w:ascii="Arial" w:hAnsi="Arial"/>
        </w:rPr>
        <w:lastRenderedPageBreak/>
        <w:t>This authorisation sheet should be retained to serve as a record of those registered health professionals authorised to work under this PGD.</w:t>
      </w:r>
    </w:p>
    <w:p w14:paraId="63E6EC96" w14:textId="77777777" w:rsidR="00725927" w:rsidRPr="00F821C9" w:rsidRDefault="00725927" w:rsidP="005A7498">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2D0F1F2B" w14:textId="77777777" w:rsidR="00E11FE0" w:rsidRDefault="00E11FE0" w:rsidP="005A7498">
      <w:pPr>
        <w:pStyle w:val="NICEnormal"/>
        <w:spacing w:after="0" w:line="240" w:lineRule="auto"/>
        <w:rPr>
          <w:rFonts w:cs="Arial"/>
          <w:lang w:val="en-GB"/>
        </w:rPr>
      </w:pPr>
    </w:p>
    <w:bookmarkEnd w:id="0"/>
    <w:bookmarkEnd w:id="1"/>
    <w:bookmarkEnd w:id="2"/>
    <w:p w14:paraId="382B84F2" w14:textId="77777777" w:rsidR="00E11FE0" w:rsidRDefault="00E11FE0" w:rsidP="0025085E">
      <w:pPr>
        <w:pStyle w:val="NICEnormal"/>
        <w:rPr>
          <w:rFonts w:cs="Arial"/>
          <w:lang w:val="en-GB"/>
        </w:rPr>
      </w:pPr>
    </w:p>
    <w:sectPr w:rsidR="00E11FE0" w:rsidSect="00537E57">
      <w:headerReference w:type="default" r:id="rId28"/>
      <w:footerReference w:type="default" r:id="rId29"/>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AD75" w14:textId="77777777" w:rsidR="00AA4752" w:rsidRDefault="00AA4752">
      <w:r>
        <w:separator/>
      </w:r>
    </w:p>
  </w:endnote>
  <w:endnote w:type="continuationSeparator" w:id="0">
    <w:p w14:paraId="174F684F" w14:textId="77777777" w:rsidR="00AA4752" w:rsidRDefault="00AA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B198" w14:textId="77777777" w:rsidR="006B4D46" w:rsidRPr="0044281C" w:rsidRDefault="006B4D46" w:rsidP="00837B25">
    <w:pPr>
      <w:pStyle w:val="Footer"/>
      <w:rPr>
        <w:sz w:val="22"/>
        <w:highlight w:val="cyan"/>
      </w:rPr>
    </w:pPr>
    <w:r w:rsidRPr="0044281C">
      <w:rPr>
        <w:sz w:val="22"/>
        <w:highlight w:val="cyan"/>
      </w:rPr>
      <w:t>Reference Number:</w:t>
    </w:r>
  </w:p>
  <w:p w14:paraId="59EEF7A6" w14:textId="77777777" w:rsidR="006B4D46" w:rsidRPr="0044281C" w:rsidRDefault="006B4D46" w:rsidP="00837B25">
    <w:pPr>
      <w:pStyle w:val="Footer"/>
      <w:rPr>
        <w:sz w:val="22"/>
        <w:highlight w:val="cyan"/>
      </w:rPr>
    </w:pPr>
    <w:r w:rsidRPr="0044281C">
      <w:rPr>
        <w:sz w:val="22"/>
        <w:highlight w:val="cyan"/>
      </w:rPr>
      <w:t>Valid from:</w:t>
    </w:r>
  </w:p>
  <w:p w14:paraId="3F9F7691" w14:textId="77777777" w:rsidR="006B4D46" w:rsidRPr="0044281C" w:rsidRDefault="006B4D46" w:rsidP="00837B25">
    <w:pPr>
      <w:pStyle w:val="Footer"/>
      <w:rPr>
        <w:sz w:val="22"/>
        <w:highlight w:val="cyan"/>
      </w:rPr>
    </w:pPr>
    <w:r w:rsidRPr="0044281C">
      <w:rPr>
        <w:sz w:val="22"/>
        <w:highlight w:val="cyan"/>
      </w:rPr>
      <w:t>Review date:</w:t>
    </w:r>
  </w:p>
  <w:p w14:paraId="63947BA7" w14:textId="77777777" w:rsidR="006B4D46" w:rsidRDefault="006B4D46"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F96A31">
      <w:rPr>
        <w:noProof/>
      </w:rPr>
      <w:t>11</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8872" w14:textId="77777777" w:rsidR="00AA4752" w:rsidRDefault="00AA4752">
      <w:r>
        <w:separator/>
      </w:r>
    </w:p>
  </w:footnote>
  <w:footnote w:type="continuationSeparator" w:id="0">
    <w:p w14:paraId="5400497E" w14:textId="77777777" w:rsidR="00AA4752" w:rsidRDefault="00AA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CF37"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26CD8"/>
    <w:multiLevelType w:val="hybridMultilevel"/>
    <w:tmpl w:val="C7E4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8758CB"/>
    <w:multiLevelType w:val="hybridMultilevel"/>
    <w:tmpl w:val="785498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EA2EE6"/>
    <w:multiLevelType w:val="hybridMultilevel"/>
    <w:tmpl w:val="71ECD6E2"/>
    <w:lvl w:ilvl="0" w:tplc="5688166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77F63"/>
    <w:multiLevelType w:val="hybridMultilevel"/>
    <w:tmpl w:val="BE96F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46941"/>
    <w:multiLevelType w:val="hybridMultilevel"/>
    <w:tmpl w:val="60DAE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2F2A1A"/>
    <w:multiLevelType w:val="hybridMultilevel"/>
    <w:tmpl w:val="BB3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951BA1"/>
    <w:multiLevelType w:val="hybridMultilevel"/>
    <w:tmpl w:val="32DA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180F38"/>
    <w:multiLevelType w:val="hybridMultilevel"/>
    <w:tmpl w:val="04BA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F4987"/>
    <w:multiLevelType w:val="hybridMultilevel"/>
    <w:tmpl w:val="0E202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AC7F69"/>
    <w:multiLevelType w:val="hybridMultilevel"/>
    <w:tmpl w:val="D882B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84751"/>
    <w:multiLevelType w:val="hybridMultilevel"/>
    <w:tmpl w:val="4060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40A67"/>
    <w:multiLevelType w:val="hybridMultilevel"/>
    <w:tmpl w:val="9E70D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71296"/>
    <w:multiLevelType w:val="multilevel"/>
    <w:tmpl w:val="3724ADF8"/>
    <w:numStyleLink w:val="NiceNumbering"/>
  </w:abstractNum>
  <w:abstractNum w:abstractNumId="18"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3649E"/>
    <w:multiLevelType w:val="hybridMultilevel"/>
    <w:tmpl w:val="63D0B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961614"/>
    <w:multiLevelType w:val="hybridMultilevel"/>
    <w:tmpl w:val="3E44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22A3A"/>
    <w:multiLevelType w:val="hybridMultilevel"/>
    <w:tmpl w:val="65281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105258"/>
    <w:multiLevelType w:val="hybridMultilevel"/>
    <w:tmpl w:val="6D62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24152C"/>
    <w:multiLevelType w:val="hybridMultilevel"/>
    <w:tmpl w:val="FE406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4D415D"/>
    <w:multiLevelType w:val="hybridMultilevel"/>
    <w:tmpl w:val="ACF00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8" w15:restartNumberingAfterBreak="0">
    <w:nsid w:val="509F37DC"/>
    <w:multiLevelType w:val="hybridMultilevel"/>
    <w:tmpl w:val="61009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670520"/>
    <w:multiLevelType w:val="hybridMultilevel"/>
    <w:tmpl w:val="AE4E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AA1D65"/>
    <w:multiLevelType w:val="hybridMultilevel"/>
    <w:tmpl w:val="B504E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7A2532"/>
    <w:multiLevelType w:val="hybridMultilevel"/>
    <w:tmpl w:val="CB4C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5171C"/>
    <w:multiLevelType w:val="hybridMultilevel"/>
    <w:tmpl w:val="F6C22AC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760B57"/>
    <w:multiLevelType w:val="hybridMultilevel"/>
    <w:tmpl w:val="AE965B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9"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0"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41" w15:restartNumberingAfterBreak="0">
    <w:nsid w:val="786B6255"/>
    <w:multiLevelType w:val="hybridMultilevel"/>
    <w:tmpl w:val="769848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BE6DDC"/>
    <w:multiLevelType w:val="hybridMultilevel"/>
    <w:tmpl w:val="BC466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45" w15:restartNumberingAfterBreak="0">
    <w:nsid w:val="7EC46A70"/>
    <w:multiLevelType w:val="hybridMultilevel"/>
    <w:tmpl w:val="265E44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CD1E4F"/>
    <w:multiLevelType w:val="hybridMultilevel"/>
    <w:tmpl w:val="CACCA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1192191">
    <w:abstractNumId w:val="32"/>
  </w:num>
  <w:num w:numId="2" w16cid:durableId="2103984513">
    <w:abstractNumId w:val="35"/>
    <w:lvlOverride w:ilvl="0">
      <w:startOverride w:val="1"/>
    </w:lvlOverride>
  </w:num>
  <w:num w:numId="3" w16cid:durableId="1135416875">
    <w:abstractNumId w:val="12"/>
    <w:lvlOverride w:ilvl="0">
      <w:startOverride w:val="1"/>
    </w:lvlOverride>
  </w:num>
  <w:num w:numId="4" w16cid:durableId="435098082">
    <w:abstractNumId w:val="19"/>
  </w:num>
  <w:num w:numId="5" w16cid:durableId="1369795115">
    <w:abstractNumId w:val="39"/>
  </w:num>
  <w:num w:numId="6" w16cid:durableId="936909768">
    <w:abstractNumId w:val="40"/>
  </w:num>
  <w:num w:numId="7" w16cid:durableId="220139610">
    <w:abstractNumId w:val="27"/>
  </w:num>
  <w:num w:numId="8" w16cid:durableId="55931355">
    <w:abstractNumId w:val="16"/>
  </w:num>
  <w:num w:numId="9" w16cid:durableId="698629158">
    <w:abstractNumId w:val="38"/>
  </w:num>
  <w:num w:numId="10" w16cid:durableId="765344641">
    <w:abstractNumId w:val="17"/>
  </w:num>
  <w:num w:numId="11" w16cid:durableId="185293921">
    <w:abstractNumId w:val="44"/>
  </w:num>
  <w:num w:numId="12" w16cid:durableId="848638747">
    <w:abstractNumId w:val="7"/>
  </w:num>
  <w:num w:numId="13" w16cid:durableId="1289699388">
    <w:abstractNumId w:val="0"/>
  </w:num>
  <w:num w:numId="14" w16cid:durableId="117650410">
    <w:abstractNumId w:val="42"/>
  </w:num>
  <w:num w:numId="15" w16cid:durableId="1481194446">
    <w:abstractNumId w:val="36"/>
  </w:num>
  <w:num w:numId="16" w16cid:durableId="2063675013">
    <w:abstractNumId w:val="45"/>
  </w:num>
  <w:num w:numId="17" w16cid:durableId="1402483609">
    <w:abstractNumId w:val="20"/>
  </w:num>
  <w:num w:numId="18" w16cid:durableId="908809622">
    <w:abstractNumId w:val="11"/>
  </w:num>
  <w:num w:numId="19" w16cid:durableId="477309210">
    <w:abstractNumId w:val="13"/>
  </w:num>
  <w:num w:numId="20" w16cid:durableId="90975856">
    <w:abstractNumId w:val="24"/>
  </w:num>
  <w:num w:numId="21" w16cid:durableId="1037658081">
    <w:abstractNumId w:val="29"/>
  </w:num>
  <w:num w:numId="22" w16cid:durableId="2077581938">
    <w:abstractNumId w:val="3"/>
  </w:num>
  <w:num w:numId="23" w16cid:durableId="1798797082">
    <w:abstractNumId w:val="22"/>
  </w:num>
  <w:num w:numId="24" w16cid:durableId="1661275374">
    <w:abstractNumId w:val="46"/>
  </w:num>
  <w:num w:numId="25" w16cid:durableId="1099718133">
    <w:abstractNumId w:val="8"/>
  </w:num>
  <w:num w:numId="26" w16cid:durableId="1363482352">
    <w:abstractNumId w:val="6"/>
  </w:num>
  <w:num w:numId="27" w16cid:durableId="521749090">
    <w:abstractNumId w:val="9"/>
  </w:num>
  <w:num w:numId="28" w16cid:durableId="2037075590">
    <w:abstractNumId w:val="5"/>
  </w:num>
  <w:num w:numId="29" w16cid:durableId="952981976">
    <w:abstractNumId w:val="28"/>
  </w:num>
  <w:num w:numId="30" w16cid:durableId="48963756">
    <w:abstractNumId w:val="14"/>
  </w:num>
  <w:num w:numId="31" w16cid:durableId="315761436">
    <w:abstractNumId w:val="26"/>
  </w:num>
  <w:num w:numId="32" w16cid:durableId="658925947">
    <w:abstractNumId w:val="18"/>
  </w:num>
  <w:num w:numId="33" w16cid:durableId="1699239552">
    <w:abstractNumId w:val="41"/>
  </w:num>
  <w:num w:numId="34" w16cid:durableId="1121991428">
    <w:abstractNumId w:val="37"/>
  </w:num>
  <w:num w:numId="35" w16cid:durableId="1477645138">
    <w:abstractNumId w:val="2"/>
  </w:num>
  <w:num w:numId="36" w16cid:durableId="1608079330">
    <w:abstractNumId w:val="23"/>
  </w:num>
  <w:num w:numId="37" w16cid:durableId="1338993458">
    <w:abstractNumId w:val="21"/>
  </w:num>
  <w:num w:numId="38" w16cid:durableId="1002006688">
    <w:abstractNumId w:val="10"/>
  </w:num>
  <w:num w:numId="39" w16cid:durableId="481192194">
    <w:abstractNumId w:val="43"/>
  </w:num>
  <w:num w:numId="40" w16cid:durableId="820732050">
    <w:abstractNumId w:val="34"/>
  </w:num>
  <w:num w:numId="41" w16cid:durableId="202518372">
    <w:abstractNumId w:val="25"/>
  </w:num>
  <w:num w:numId="42" w16cid:durableId="1861234640">
    <w:abstractNumId w:val="4"/>
  </w:num>
  <w:num w:numId="43" w16cid:durableId="1155605148">
    <w:abstractNumId w:val="1"/>
  </w:num>
  <w:num w:numId="44" w16cid:durableId="244652549">
    <w:abstractNumId w:val="31"/>
  </w:num>
  <w:num w:numId="45" w16cid:durableId="2074348953">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102A3"/>
    <w:rsid w:val="00012D3D"/>
    <w:rsid w:val="00017F41"/>
    <w:rsid w:val="00022601"/>
    <w:rsid w:val="0002298F"/>
    <w:rsid w:val="00024FDE"/>
    <w:rsid w:val="00025E2E"/>
    <w:rsid w:val="00031DE4"/>
    <w:rsid w:val="0003249A"/>
    <w:rsid w:val="000357C6"/>
    <w:rsid w:val="00036708"/>
    <w:rsid w:val="00037F07"/>
    <w:rsid w:val="0004126C"/>
    <w:rsid w:val="0004289C"/>
    <w:rsid w:val="00043DD4"/>
    <w:rsid w:val="00047F9B"/>
    <w:rsid w:val="00051AAD"/>
    <w:rsid w:val="000524CF"/>
    <w:rsid w:val="0005393C"/>
    <w:rsid w:val="00054187"/>
    <w:rsid w:val="000555F3"/>
    <w:rsid w:val="0006306E"/>
    <w:rsid w:val="000720C3"/>
    <w:rsid w:val="00072490"/>
    <w:rsid w:val="0007357B"/>
    <w:rsid w:val="00073B6D"/>
    <w:rsid w:val="0007473C"/>
    <w:rsid w:val="00076494"/>
    <w:rsid w:val="00081AA6"/>
    <w:rsid w:val="00081B91"/>
    <w:rsid w:val="000856ED"/>
    <w:rsid w:val="00091032"/>
    <w:rsid w:val="000912CD"/>
    <w:rsid w:val="00091E6A"/>
    <w:rsid w:val="00094814"/>
    <w:rsid w:val="00096257"/>
    <w:rsid w:val="00096296"/>
    <w:rsid w:val="0009730C"/>
    <w:rsid w:val="000A2A17"/>
    <w:rsid w:val="000A4616"/>
    <w:rsid w:val="000A77F7"/>
    <w:rsid w:val="000A7F4E"/>
    <w:rsid w:val="000B11F9"/>
    <w:rsid w:val="000B2929"/>
    <w:rsid w:val="000B2B38"/>
    <w:rsid w:val="000B5694"/>
    <w:rsid w:val="000C32F8"/>
    <w:rsid w:val="000C6922"/>
    <w:rsid w:val="000D7528"/>
    <w:rsid w:val="000D7704"/>
    <w:rsid w:val="000E0633"/>
    <w:rsid w:val="000E2E30"/>
    <w:rsid w:val="000E6EC0"/>
    <w:rsid w:val="000E71C7"/>
    <w:rsid w:val="000F15A3"/>
    <w:rsid w:val="000F1CAB"/>
    <w:rsid w:val="000F2350"/>
    <w:rsid w:val="000F4B18"/>
    <w:rsid w:val="000F4FC5"/>
    <w:rsid w:val="000F555A"/>
    <w:rsid w:val="000F6DF5"/>
    <w:rsid w:val="001016BC"/>
    <w:rsid w:val="00102CA6"/>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3BBB"/>
    <w:rsid w:val="00163CE8"/>
    <w:rsid w:val="00163D93"/>
    <w:rsid w:val="00165A0E"/>
    <w:rsid w:val="00170722"/>
    <w:rsid w:val="001708B5"/>
    <w:rsid w:val="00170D37"/>
    <w:rsid w:val="00170F9B"/>
    <w:rsid w:val="001717F4"/>
    <w:rsid w:val="00171F08"/>
    <w:rsid w:val="0017281B"/>
    <w:rsid w:val="00173124"/>
    <w:rsid w:val="001802F8"/>
    <w:rsid w:val="00184E40"/>
    <w:rsid w:val="0018568F"/>
    <w:rsid w:val="00185D9C"/>
    <w:rsid w:val="00191DF2"/>
    <w:rsid w:val="00192E1E"/>
    <w:rsid w:val="0019584B"/>
    <w:rsid w:val="00195BE6"/>
    <w:rsid w:val="0019622E"/>
    <w:rsid w:val="00197181"/>
    <w:rsid w:val="00197EBE"/>
    <w:rsid w:val="001A099F"/>
    <w:rsid w:val="001A0A45"/>
    <w:rsid w:val="001A2597"/>
    <w:rsid w:val="001A4D8B"/>
    <w:rsid w:val="001B0585"/>
    <w:rsid w:val="001B06ED"/>
    <w:rsid w:val="001B3087"/>
    <w:rsid w:val="001B34D5"/>
    <w:rsid w:val="001B5C09"/>
    <w:rsid w:val="001B63A5"/>
    <w:rsid w:val="001B7FDB"/>
    <w:rsid w:val="001C02E3"/>
    <w:rsid w:val="001C46A6"/>
    <w:rsid w:val="001C4B2C"/>
    <w:rsid w:val="001D249F"/>
    <w:rsid w:val="001D548E"/>
    <w:rsid w:val="001D7D3D"/>
    <w:rsid w:val="001E006A"/>
    <w:rsid w:val="001E1D2B"/>
    <w:rsid w:val="001E3238"/>
    <w:rsid w:val="001E7E43"/>
    <w:rsid w:val="001F0DB2"/>
    <w:rsid w:val="001F32F9"/>
    <w:rsid w:val="001F6143"/>
    <w:rsid w:val="001F6668"/>
    <w:rsid w:val="0020163B"/>
    <w:rsid w:val="00215D14"/>
    <w:rsid w:val="00221439"/>
    <w:rsid w:val="00222100"/>
    <w:rsid w:val="002236EB"/>
    <w:rsid w:val="00234A16"/>
    <w:rsid w:val="00243191"/>
    <w:rsid w:val="00245550"/>
    <w:rsid w:val="00245F7B"/>
    <w:rsid w:val="0025085E"/>
    <w:rsid w:val="002529F3"/>
    <w:rsid w:val="00257E60"/>
    <w:rsid w:val="0026236B"/>
    <w:rsid w:val="00262BB2"/>
    <w:rsid w:val="002651BA"/>
    <w:rsid w:val="002740D9"/>
    <w:rsid w:val="00274956"/>
    <w:rsid w:val="002759EC"/>
    <w:rsid w:val="00277827"/>
    <w:rsid w:val="00277A25"/>
    <w:rsid w:val="0028370C"/>
    <w:rsid w:val="00285B42"/>
    <w:rsid w:val="00290FAB"/>
    <w:rsid w:val="00296701"/>
    <w:rsid w:val="0029769E"/>
    <w:rsid w:val="002A7D61"/>
    <w:rsid w:val="002B5555"/>
    <w:rsid w:val="002B5BAC"/>
    <w:rsid w:val="002B5E5D"/>
    <w:rsid w:val="002B6527"/>
    <w:rsid w:val="002B7C13"/>
    <w:rsid w:val="002C0455"/>
    <w:rsid w:val="002C1733"/>
    <w:rsid w:val="002C19DC"/>
    <w:rsid w:val="002C24CE"/>
    <w:rsid w:val="002C67DA"/>
    <w:rsid w:val="002D0D41"/>
    <w:rsid w:val="002D4185"/>
    <w:rsid w:val="002E2037"/>
    <w:rsid w:val="002F134E"/>
    <w:rsid w:val="002F56E1"/>
    <w:rsid w:val="00301008"/>
    <w:rsid w:val="00302939"/>
    <w:rsid w:val="003111B2"/>
    <w:rsid w:val="003111CC"/>
    <w:rsid w:val="00313283"/>
    <w:rsid w:val="00315117"/>
    <w:rsid w:val="00315465"/>
    <w:rsid w:val="003156DC"/>
    <w:rsid w:val="00317C16"/>
    <w:rsid w:val="003225C3"/>
    <w:rsid w:val="00323120"/>
    <w:rsid w:val="00323184"/>
    <w:rsid w:val="0032598F"/>
    <w:rsid w:val="00330081"/>
    <w:rsid w:val="003317CA"/>
    <w:rsid w:val="0033548C"/>
    <w:rsid w:val="0035096D"/>
    <w:rsid w:val="00361290"/>
    <w:rsid w:val="00362EFF"/>
    <w:rsid w:val="0036591D"/>
    <w:rsid w:val="00365CE3"/>
    <w:rsid w:val="0037111A"/>
    <w:rsid w:val="00374045"/>
    <w:rsid w:val="0037637C"/>
    <w:rsid w:val="003775A4"/>
    <w:rsid w:val="00381FB5"/>
    <w:rsid w:val="00384C86"/>
    <w:rsid w:val="00386B19"/>
    <w:rsid w:val="00390939"/>
    <w:rsid w:val="003919B5"/>
    <w:rsid w:val="0039272E"/>
    <w:rsid w:val="00395560"/>
    <w:rsid w:val="00395DA3"/>
    <w:rsid w:val="003969FE"/>
    <w:rsid w:val="003A0E76"/>
    <w:rsid w:val="003A30B2"/>
    <w:rsid w:val="003A61A3"/>
    <w:rsid w:val="003B3492"/>
    <w:rsid w:val="003B3958"/>
    <w:rsid w:val="003B3EB7"/>
    <w:rsid w:val="003B5534"/>
    <w:rsid w:val="003B61FD"/>
    <w:rsid w:val="003C0722"/>
    <w:rsid w:val="003C19FB"/>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074DA"/>
    <w:rsid w:val="004122AC"/>
    <w:rsid w:val="00417611"/>
    <w:rsid w:val="00421D74"/>
    <w:rsid w:val="00425F72"/>
    <w:rsid w:val="00433897"/>
    <w:rsid w:val="0043534B"/>
    <w:rsid w:val="0044276D"/>
    <w:rsid w:val="0044281C"/>
    <w:rsid w:val="004472A5"/>
    <w:rsid w:val="00447D9C"/>
    <w:rsid w:val="004530D6"/>
    <w:rsid w:val="0045723E"/>
    <w:rsid w:val="00462109"/>
    <w:rsid w:val="00467940"/>
    <w:rsid w:val="00472EA6"/>
    <w:rsid w:val="00473E4D"/>
    <w:rsid w:val="00476876"/>
    <w:rsid w:val="0048006E"/>
    <w:rsid w:val="00480581"/>
    <w:rsid w:val="00481A10"/>
    <w:rsid w:val="004870F8"/>
    <w:rsid w:val="00490B13"/>
    <w:rsid w:val="00492064"/>
    <w:rsid w:val="004921B6"/>
    <w:rsid w:val="00492391"/>
    <w:rsid w:val="004A547D"/>
    <w:rsid w:val="004A7E93"/>
    <w:rsid w:val="004B17CE"/>
    <w:rsid w:val="004B2C19"/>
    <w:rsid w:val="004B55C6"/>
    <w:rsid w:val="004B5926"/>
    <w:rsid w:val="004B610E"/>
    <w:rsid w:val="004C0BD9"/>
    <w:rsid w:val="004C18D1"/>
    <w:rsid w:val="004C74E5"/>
    <w:rsid w:val="004C7B63"/>
    <w:rsid w:val="004D11DE"/>
    <w:rsid w:val="004D1C74"/>
    <w:rsid w:val="004D30C0"/>
    <w:rsid w:val="004E08C6"/>
    <w:rsid w:val="004E2CE1"/>
    <w:rsid w:val="004E48B7"/>
    <w:rsid w:val="004E59D9"/>
    <w:rsid w:val="004F55B1"/>
    <w:rsid w:val="004F6169"/>
    <w:rsid w:val="005001FC"/>
    <w:rsid w:val="00501FBD"/>
    <w:rsid w:val="00502626"/>
    <w:rsid w:val="00502F31"/>
    <w:rsid w:val="00507320"/>
    <w:rsid w:val="00510803"/>
    <w:rsid w:val="00510BA7"/>
    <w:rsid w:val="00520D02"/>
    <w:rsid w:val="00524295"/>
    <w:rsid w:val="005256FA"/>
    <w:rsid w:val="00527391"/>
    <w:rsid w:val="005347B6"/>
    <w:rsid w:val="0053667C"/>
    <w:rsid w:val="00537E57"/>
    <w:rsid w:val="00540643"/>
    <w:rsid w:val="0054441F"/>
    <w:rsid w:val="00544E14"/>
    <w:rsid w:val="005472C7"/>
    <w:rsid w:val="00547D7B"/>
    <w:rsid w:val="00554531"/>
    <w:rsid w:val="005554A2"/>
    <w:rsid w:val="00557607"/>
    <w:rsid w:val="00557DB1"/>
    <w:rsid w:val="00561CE9"/>
    <w:rsid w:val="005662A5"/>
    <w:rsid w:val="005663A9"/>
    <w:rsid w:val="0056643E"/>
    <w:rsid w:val="00567220"/>
    <w:rsid w:val="00567847"/>
    <w:rsid w:val="00570E3D"/>
    <w:rsid w:val="005718CD"/>
    <w:rsid w:val="00574AFD"/>
    <w:rsid w:val="005806DB"/>
    <w:rsid w:val="00583011"/>
    <w:rsid w:val="005949EA"/>
    <w:rsid w:val="005A2FAD"/>
    <w:rsid w:val="005A5897"/>
    <w:rsid w:val="005A7498"/>
    <w:rsid w:val="005A7D8A"/>
    <w:rsid w:val="005B15BC"/>
    <w:rsid w:val="005B5BD8"/>
    <w:rsid w:val="005B728D"/>
    <w:rsid w:val="005B768E"/>
    <w:rsid w:val="005C020A"/>
    <w:rsid w:val="005C2326"/>
    <w:rsid w:val="005C2AC1"/>
    <w:rsid w:val="005C62A1"/>
    <w:rsid w:val="005C6771"/>
    <w:rsid w:val="005D157A"/>
    <w:rsid w:val="005D3148"/>
    <w:rsid w:val="005D4154"/>
    <w:rsid w:val="005D5304"/>
    <w:rsid w:val="005D7A63"/>
    <w:rsid w:val="005F1603"/>
    <w:rsid w:val="005F19A7"/>
    <w:rsid w:val="005F20C2"/>
    <w:rsid w:val="005F3623"/>
    <w:rsid w:val="005F4864"/>
    <w:rsid w:val="005F4940"/>
    <w:rsid w:val="00602CB0"/>
    <w:rsid w:val="006125EC"/>
    <w:rsid w:val="00615B94"/>
    <w:rsid w:val="006165DF"/>
    <w:rsid w:val="006208D3"/>
    <w:rsid w:val="00620E75"/>
    <w:rsid w:val="0062242D"/>
    <w:rsid w:val="00623945"/>
    <w:rsid w:val="00625390"/>
    <w:rsid w:val="0062633A"/>
    <w:rsid w:val="006315FC"/>
    <w:rsid w:val="00633A98"/>
    <w:rsid w:val="00634008"/>
    <w:rsid w:val="006360AF"/>
    <w:rsid w:val="0063779A"/>
    <w:rsid w:val="00647054"/>
    <w:rsid w:val="0065215A"/>
    <w:rsid w:val="00654491"/>
    <w:rsid w:val="006565AD"/>
    <w:rsid w:val="00657094"/>
    <w:rsid w:val="006579C4"/>
    <w:rsid w:val="006604BA"/>
    <w:rsid w:val="00665687"/>
    <w:rsid w:val="0066570C"/>
    <w:rsid w:val="0067000A"/>
    <w:rsid w:val="00675727"/>
    <w:rsid w:val="00676071"/>
    <w:rsid w:val="006830D0"/>
    <w:rsid w:val="006833EE"/>
    <w:rsid w:val="006843FA"/>
    <w:rsid w:val="00685DE2"/>
    <w:rsid w:val="00687988"/>
    <w:rsid w:val="0069351C"/>
    <w:rsid w:val="006A2629"/>
    <w:rsid w:val="006A395B"/>
    <w:rsid w:val="006A4706"/>
    <w:rsid w:val="006B2D85"/>
    <w:rsid w:val="006B39B2"/>
    <w:rsid w:val="006B4D46"/>
    <w:rsid w:val="006B595D"/>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555A"/>
    <w:rsid w:val="00700944"/>
    <w:rsid w:val="0070211B"/>
    <w:rsid w:val="00702E9B"/>
    <w:rsid w:val="007039B4"/>
    <w:rsid w:val="00711452"/>
    <w:rsid w:val="00713AB2"/>
    <w:rsid w:val="0071562D"/>
    <w:rsid w:val="00722BE5"/>
    <w:rsid w:val="00724859"/>
    <w:rsid w:val="00725927"/>
    <w:rsid w:val="00735292"/>
    <w:rsid w:val="00737FD6"/>
    <w:rsid w:val="00742758"/>
    <w:rsid w:val="00742849"/>
    <w:rsid w:val="0074695F"/>
    <w:rsid w:val="00754053"/>
    <w:rsid w:val="0075421A"/>
    <w:rsid w:val="0075442D"/>
    <w:rsid w:val="0075472D"/>
    <w:rsid w:val="007635D1"/>
    <w:rsid w:val="007644BC"/>
    <w:rsid w:val="00767815"/>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5B07"/>
    <w:rsid w:val="007C5DB1"/>
    <w:rsid w:val="007C7DC9"/>
    <w:rsid w:val="007D026C"/>
    <w:rsid w:val="007D3AE2"/>
    <w:rsid w:val="007D5B8A"/>
    <w:rsid w:val="007D6643"/>
    <w:rsid w:val="007D6C6B"/>
    <w:rsid w:val="007E1262"/>
    <w:rsid w:val="007E6D04"/>
    <w:rsid w:val="007E7C23"/>
    <w:rsid w:val="007E7CC9"/>
    <w:rsid w:val="007F0048"/>
    <w:rsid w:val="007F4C22"/>
    <w:rsid w:val="007F4CDA"/>
    <w:rsid w:val="00800595"/>
    <w:rsid w:val="0080206D"/>
    <w:rsid w:val="00804CA2"/>
    <w:rsid w:val="008078D7"/>
    <w:rsid w:val="00810480"/>
    <w:rsid w:val="008115AE"/>
    <w:rsid w:val="00811BDE"/>
    <w:rsid w:val="00813B72"/>
    <w:rsid w:val="00816059"/>
    <w:rsid w:val="00821380"/>
    <w:rsid w:val="0083041B"/>
    <w:rsid w:val="008305D7"/>
    <w:rsid w:val="008313BF"/>
    <w:rsid w:val="008333BF"/>
    <w:rsid w:val="0083364B"/>
    <w:rsid w:val="008339A7"/>
    <w:rsid w:val="00834F0F"/>
    <w:rsid w:val="00837B25"/>
    <w:rsid w:val="0084110B"/>
    <w:rsid w:val="00846603"/>
    <w:rsid w:val="008479C0"/>
    <w:rsid w:val="008543A8"/>
    <w:rsid w:val="008548CB"/>
    <w:rsid w:val="00856887"/>
    <w:rsid w:val="0085752D"/>
    <w:rsid w:val="00861B2A"/>
    <w:rsid w:val="00863441"/>
    <w:rsid w:val="0086417E"/>
    <w:rsid w:val="008676A6"/>
    <w:rsid w:val="008748F2"/>
    <w:rsid w:val="0088380B"/>
    <w:rsid w:val="00883AD3"/>
    <w:rsid w:val="00883EDC"/>
    <w:rsid w:val="00886FD6"/>
    <w:rsid w:val="00887A2B"/>
    <w:rsid w:val="008956F5"/>
    <w:rsid w:val="00895961"/>
    <w:rsid w:val="008A24EB"/>
    <w:rsid w:val="008A5671"/>
    <w:rsid w:val="008B30AB"/>
    <w:rsid w:val="008B77E8"/>
    <w:rsid w:val="008C121C"/>
    <w:rsid w:val="008C3DAE"/>
    <w:rsid w:val="008C5DCD"/>
    <w:rsid w:val="008D18BD"/>
    <w:rsid w:val="008D5E28"/>
    <w:rsid w:val="008D7606"/>
    <w:rsid w:val="008E42BC"/>
    <w:rsid w:val="008E511A"/>
    <w:rsid w:val="008E635D"/>
    <w:rsid w:val="008F09E1"/>
    <w:rsid w:val="008F30A1"/>
    <w:rsid w:val="008F6FF7"/>
    <w:rsid w:val="00903B94"/>
    <w:rsid w:val="00907A4B"/>
    <w:rsid w:val="00911B80"/>
    <w:rsid w:val="00913748"/>
    <w:rsid w:val="0091388B"/>
    <w:rsid w:val="009153B6"/>
    <w:rsid w:val="0091559C"/>
    <w:rsid w:val="00915F6F"/>
    <w:rsid w:val="00916AB5"/>
    <w:rsid w:val="0092064A"/>
    <w:rsid w:val="00924597"/>
    <w:rsid w:val="00934183"/>
    <w:rsid w:val="00935DE7"/>
    <w:rsid w:val="00936F82"/>
    <w:rsid w:val="009415A1"/>
    <w:rsid w:val="0094341B"/>
    <w:rsid w:val="0094394E"/>
    <w:rsid w:val="00943A04"/>
    <w:rsid w:val="00950E8A"/>
    <w:rsid w:val="0095271C"/>
    <w:rsid w:val="00952F5D"/>
    <w:rsid w:val="00953D3A"/>
    <w:rsid w:val="00963550"/>
    <w:rsid w:val="00970400"/>
    <w:rsid w:val="00970EA1"/>
    <w:rsid w:val="00973131"/>
    <w:rsid w:val="00973CBB"/>
    <w:rsid w:val="00974477"/>
    <w:rsid w:val="0097481D"/>
    <w:rsid w:val="00976054"/>
    <w:rsid w:val="00980479"/>
    <w:rsid w:val="009826DD"/>
    <w:rsid w:val="00985C7C"/>
    <w:rsid w:val="00986ECD"/>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E3F3B"/>
    <w:rsid w:val="009E4A1E"/>
    <w:rsid w:val="009F0A26"/>
    <w:rsid w:val="009F1A8D"/>
    <w:rsid w:val="009F44F6"/>
    <w:rsid w:val="00A02C46"/>
    <w:rsid w:val="00A03890"/>
    <w:rsid w:val="00A03E4F"/>
    <w:rsid w:val="00A05CFA"/>
    <w:rsid w:val="00A10054"/>
    <w:rsid w:val="00A125D4"/>
    <w:rsid w:val="00A14981"/>
    <w:rsid w:val="00A154A4"/>
    <w:rsid w:val="00A20FBD"/>
    <w:rsid w:val="00A2119C"/>
    <w:rsid w:val="00A213AA"/>
    <w:rsid w:val="00A2599A"/>
    <w:rsid w:val="00A25B14"/>
    <w:rsid w:val="00A27EB3"/>
    <w:rsid w:val="00A30EAB"/>
    <w:rsid w:val="00A31113"/>
    <w:rsid w:val="00A33E43"/>
    <w:rsid w:val="00A420AE"/>
    <w:rsid w:val="00A45923"/>
    <w:rsid w:val="00A45CE9"/>
    <w:rsid w:val="00A5060A"/>
    <w:rsid w:val="00A50DD9"/>
    <w:rsid w:val="00A51727"/>
    <w:rsid w:val="00A548D5"/>
    <w:rsid w:val="00A6013E"/>
    <w:rsid w:val="00A61604"/>
    <w:rsid w:val="00A64257"/>
    <w:rsid w:val="00A64DF1"/>
    <w:rsid w:val="00A67873"/>
    <w:rsid w:val="00A71E0D"/>
    <w:rsid w:val="00A749D3"/>
    <w:rsid w:val="00A77574"/>
    <w:rsid w:val="00A77C84"/>
    <w:rsid w:val="00A80532"/>
    <w:rsid w:val="00A813B9"/>
    <w:rsid w:val="00A9433C"/>
    <w:rsid w:val="00A946E8"/>
    <w:rsid w:val="00A96B33"/>
    <w:rsid w:val="00AA0666"/>
    <w:rsid w:val="00AA16A5"/>
    <w:rsid w:val="00AA18EC"/>
    <w:rsid w:val="00AA200A"/>
    <w:rsid w:val="00AA2DC6"/>
    <w:rsid w:val="00AA3E4C"/>
    <w:rsid w:val="00AA4332"/>
    <w:rsid w:val="00AA4752"/>
    <w:rsid w:val="00AB0D6C"/>
    <w:rsid w:val="00AB40E4"/>
    <w:rsid w:val="00AB55E4"/>
    <w:rsid w:val="00AC58F7"/>
    <w:rsid w:val="00AC6A2F"/>
    <w:rsid w:val="00AD2CF2"/>
    <w:rsid w:val="00AD3FE4"/>
    <w:rsid w:val="00AD65E6"/>
    <w:rsid w:val="00AD71B3"/>
    <w:rsid w:val="00AD71F7"/>
    <w:rsid w:val="00AD7BED"/>
    <w:rsid w:val="00AD7EE5"/>
    <w:rsid w:val="00AE138D"/>
    <w:rsid w:val="00AE13CD"/>
    <w:rsid w:val="00AE2A4E"/>
    <w:rsid w:val="00AE5EB2"/>
    <w:rsid w:val="00AE6867"/>
    <w:rsid w:val="00AE7378"/>
    <w:rsid w:val="00AF5DF1"/>
    <w:rsid w:val="00B01C91"/>
    <w:rsid w:val="00B0295D"/>
    <w:rsid w:val="00B02BC2"/>
    <w:rsid w:val="00B04310"/>
    <w:rsid w:val="00B050A0"/>
    <w:rsid w:val="00B06C63"/>
    <w:rsid w:val="00B14186"/>
    <w:rsid w:val="00B1633A"/>
    <w:rsid w:val="00B203D2"/>
    <w:rsid w:val="00B279AE"/>
    <w:rsid w:val="00B305D8"/>
    <w:rsid w:val="00B32B90"/>
    <w:rsid w:val="00B41636"/>
    <w:rsid w:val="00B43C31"/>
    <w:rsid w:val="00B44178"/>
    <w:rsid w:val="00B538F2"/>
    <w:rsid w:val="00B552E6"/>
    <w:rsid w:val="00B553BE"/>
    <w:rsid w:val="00B57AD9"/>
    <w:rsid w:val="00B61263"/>
    <w:rsid w:val="00B6626A"/>
    <w:rsid w:val="00B7120E"/>
    <w:rsid w:val="00B76F86"/>
    <w:rsid w:val="00B80DF7"/>
    <w:rsid w:val="00B810C3"/>
    <w:rsid w:val="00B840EC"/>
    <w:rsid w:val="00B87905"/>
    <w:rsid w:val="00B922C4"/>
    <w:rsid w:val="00B92435"/>
    <w:rsid w:val="00B92F5B"/>
    <w:rsid w:val="00B94499"/>
    <w:rsid w:val="00B95A01"/>
    <w:rsid w:val="00BA19CD"/>
    <w:rsid w:val="00BA3EBA"/>
    <w:rsid w:val="00BA4095"/>
    <w:rsid w:val="00BA67DE"/>
    <w:rsid w:val="00BB3A12"/>
    <w:rsid w:val="00BC2FFD"/>
    <w:rsid w:val="00BD4B6E"/>
    <w:rsid w:val="00BD6525"/>
    <w:rsid w:val="00BD665D"/>
    <w:rsid w:val="00BE0E22"/>
    <w:rsid w:val="00BE461D"/>
    <w:rsid w:val="00BE6395"/>
    <w:rsid w:val="00BE6C68"/>
    <w:rsid w:val="00BE7B97"/>
    <w:rsid w:val="00BF09D0"/>
    <w:rsid w:val="00BF16A9"/>
    <w:rsid w:val="00BF6E31"/>
    <w:rsid w:val="00BF711A"/>
    <w:rsid w:val="00BF7123"/>
    <w:rsid w:val="00BF74D1"/>
    <w:rsid w:val="00BF77DF"/>
    <w:rsid w:val="00C005D8"/>
    <w:rsid w:val="00C06E05"/>
    <w:rsid w:val="00C10DAE"/>
    <w:rsid w:val="00C1466B"/>
    <w:rsid w:val="00C16901"/>
    <w:rsid w:val="00C22683"/>
    <w:rsid w:val="00C22834"/>
    <w:rsid w:val="00C25572"/>
    <w:rsid w:val="00C25DE0"/>
    <w:rsid w:val="00C26410"/>
    <w:rsid w:val="00C2654A"/>
    <w:rsid w:val="00C2704C"/>
    <w:rsid w:val="00C34902"/>
    <w:rsid w:val="00C37FC1"/>
    <w:rsid w:val="00C44CE3"/>
    <w:rsid w:val="00C4618A"/>
    <w:rsid w:val="00C46A10"/>
    <w:rsid w:val="00C62850"/>
    <w:rsid w:val="00C64E9F"/>
    <w:rsid w:val="00C6768D"/>
    <w:rsid w:val="00C7003B"/>
    <w:rsid w:val="00C7251C"/>
    <w:rsid w:val="00C73DAF"/>
    <w:rsid w:val="00C76555"/>
    <w:rsid w:val="00C82252"/>
    <w:rsid w:val="00C860E9"/>
    <w:rsid w:val="00C91BD8"/>
    <w:rsid w:val="00C91C8B"/>
    <w:rsid w:val="00C9295A"/>
    <w:rsid w:val="00C93428"/>
    <w:rsid w:val="00C93CEB"/>
    <w:rsid w:val="00C94C8A"/>
    <w:rsid w:val="00C95CF9"/>
    <w:rsid w:val="00C962B8"/>
    <w:rsid w:val="00C97259"/>
    <w:rsid w:val="00CA1F32"/>
    <w:rsid w:val="00CA3820"/>
    <w:rsid w:val="00CA5EA5"/>
    <w:rsid w:val="00CA71DA"/>
    <w:rsid w:val="00CB13D1"/>
    <w:rsid w:val="00CB3552"/>
    <w:rsid w:val="00CB44C0"/>
    <w:rsid w:val="00CB4D8A"/>
    <w:rsid w:val="00CC5763"/>
    <w:rsid w:val="00CC6542"/>
    <w:rsid w:val="00CC658D"/>
    <w:rsid w:val="00CC6F35"/>
    <w:rsid w:val="00CD1FE9"/>
    <w:rsid w:val="00CD207C"/>
    <w:rsid w:val="00CD7B61"/>
    <w:rsid w:val="00CE0853"/>
    <w:rsid w:val="00CE50C2"/>
    <w:rsid w:val="00CF0D6F"/>
    <w:rsid w:val="00CF245E"/>
    <w:rsid w:val="00CF283C"/>
    <w:rsid w:val="00CF4FD7"/>
    <w:rsid w:val="00CF5E24"/>
    <w:rsid w:val="00D03A5D"/>
    <w:rsid w:val="00D04E79"/>
    <w:rsid w:val="00D10926"/>
    <w:rsid w:val="00D12905"/>
    <w:rsid w:val="00D16880"/>
    <w:rsid w:val="00D207D0"/>
    <w:rsid w:val="00D263F9"/>
    <w:rsid w:val="00D27B8F"/>
    <w:rsid w:val="00D31FDB"/>
    <w:rsid w:val="00D32463"/>
    <w:rsid w:val="00D32482"/>
    <w:rsid w:val="00D3599F"/>
    <w:rsid w:val="00D37ACC"/>
    <w:rsid w:val="00D508F4"/>
    <w:rsid w:val="00D50D79"/>
    <w:rsid w:val="00D574EA"/>
    <w:rsid w:val="00D62CAD"/>
    <w:rsid w:val="00D6371D"/>
    <w:rsid w:val="00D6554B"/>
    <w:rsid w:val="00D66415"/>
    <w:rsid w:val="00D726AB"/>
    <w:rsid w:val="00D73CD5"/>
    <w:rsid w:val="00D748AD"/>
    <w:rsid w:val="00D76682"/>
    <w:rsid w:val="00D77616"/>
    <w:rsid w:val="00D81BBC"/>
    <w:rsid w:val="00D87AC1"/>
    <w:rsid w:val="00D9682C"/>
    <w:rsid w:val="00DA2E53"/>
    <w:rsid w:val="00DA38F2"/>
    <w:rsid w:val="00DA746D"/>
    <w:rsid w:val="00DB1926"/>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DF45FE"/>
    <w:rsid w:val="00E0109F"/>
    <w:rsid w:val="00E01138"/>
    <w:rsid w:val="00E01873"/>
    <w:rsid w:val="00E1069A"/>
    <w:rsid w:val="00E11FE0"/>
    <w:rsid w:val="00E151C6"/>
    <w:rsid w:val="00E16CB2"/>
    <w:rsid w:val="00E22666"/>
    <w:rsid w:val="00E24288"/>
    <w:rsid w:val="00E30A2D"/>
    <w:rsid w:val="00E31788"/>
    <w:rsid w:val="00E43421"/>
    <w:rsid w:val="00E437E5"/>
    <w:rsid w:val="00E5007E"/>
    <w:rsid w:val="00E50F1B"/>
    <w:rsid w:val="00E52082"/>
    <w:rsid w:val="00E56F95"/>
    <w:rsid w:val="00E60C36"/>
    <w:rsid w:val="00E61721"/>
    <w:rsid w:val="00E61BB7"/>
    <w:rsid w:val="00E66383"/>
    <w:rsid w:val="00E66580"/>
    <w:rsid w:val="00E71C5C"/>
    <w:rsid w:val="00E72B74"/>
    <w:rsid w:val="00E73E24"/>
    <w:rsid w:val="00E75133"/>
    <w:rsid w:val="00E75A96"/>
    <w:rsid w:val="00E80341"/>
    <w:rsid w:val="00E8089E"/>
    <w:rsid w:val="00E8169E"/>
    <w:rsid w:val="00E8187D"/>
    <w:rsid w:val="00E837AA"/>
    <w:rsid w:val="00E83ED6"/>
    <w:rsid w:val="00E853E7"/>
    <w:rsid w:val="00E8641E"/>
    <w:rsid w:val="00E86B32"/>
    <w:rsid w:val="00E952BB"/>
    <w:rsid w:val="00EA1D5D"/>
    <w:rsid w:val="00EA21B9"/>
    <w:rsid w:val="00EA36BD"/>
    <w:rsid w:val="00EA389C"/>
    <w:rsid w:val="00EA53FB"/>
    <w:rsid w:val="00EB055B"/>
    <w:rsid w:val="00EB1C3F"/>
    <w:rsid w:val="00EB248C"/>
    <w:rsid w:val="00EC00CF"/>
    <w:rsid w:val="00EE659F"/>
    <w:rsid w:val="00EF09E0"/>
    <w:rsid w:val="00EF6A7F"/>
    <w:rsid w:val="00F02A57"/>
    <w:rsid w:val="00F02BC3"/>
    <w:rsid w:val="00F074B1"/>
    <w:rsid w:val="00F1315A"/>
    <w:rsid w:val="00F13E62"/>
    <w:rsid w:val="00F141C0"/>
    <w:rsid w:val="00F14FA7"/>
    <w:rsid w:val="00F16D76"/>
    <w:rsid w:val="00F22910"/>
    <w:rsid w:val="00F23145"/>
    <w:rsid w:val="00F258F6"/>
    <w:rsid w:val="00F265BA"/>
    <w:rsid w:val="00F34643"/>
    <w:rsid w:val="00F34FB1"/>
    <w:rsid w:val="00F44107"/>
    <w:rsid w:val="00F44969"/>
    <w:rsid w:val="00F44C14"/>
    <w:rsid w:val="00F53868"/>
    <w:rsid w:val="00F6305E"/>
    <w:rsid w:val="00F63EC4"/>
    <w:rsid w:val="00F7236D"/>
    <w:rsid w:val="00F73016"/>
    <w:rsid w:val="00F75EB2"/>
    <w:rsid w:val="00F821C9"/>
    <w:rsid w:val="00F8302E"/>
    <w:rsid w:val="00F83E3E"/>
    <w:rsid w:val="00F85CC0"/>
    <w:rsid w:val="00F930DE"/>
    <w:rsid w:val="00F96A31"/>
    <w:rsid w:val="00FA306E"/>
    <w:rsid w:val="00FA6AA0"/>
    <w:rsid w:val="00FA757B"/>
    <w:rsid w:val="00FA7CBE"/>
    <w:rsid w:val="00FB1E5E"/>
    <w:rsid w:val="00FB3DAE"/>
    <w:rsid w:val="00FB3F72"/>
    <w:rsid w:val="00FB6A47"/>
    <w:rsid w:val="00FC18B8"/>
    <w:rsid w:val="00FC30A2"/>
    <w:rsid w:val="00FC429D"/>
    <w:rsid w:val="00FC5666"/>
    <w:rsid w:val="00FD3A8D"/>
    <w:rsid w:val="00FD6A5F"/>
    <w:rsid w:val="00FD794D"/>
    <w:rsid w:val="00FE03C9"/>
    <w:rsid w:val="00FE07B4"/>
    <w:rsid w:val="00FE1637"/>
    <w:rsid w:val="00FE7EA2"/>
    <w:rsid w:val="00FF0313"/>
    <w:rsid w:val="00FF2445"/>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F8B7B"/>
  <w15:chartTrackingRefBased/>
  <w15:docId w15:val="{7DE0EC83-726C-4CB4-B076-44EBE4A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6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3955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5560"/>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5F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500583595">
      <w:bodyDiv w:val="1"/>
      <w:marLeft w:val="0"/>
      <w:marRight w:val="0"/>
      <w:marTop w:val="0"/>
      <w:marBottom w:val="0"/>
      <w:divBdr>
        <w:top w:val="none" w:sz="0" w:space="0" w:color="auto"/>
        <w:left w:val="none" w:sz="0" w:space="0" w:color="auto"/>
        <w:bottom w:val="none" w:sz="0" w:space="0" w:color="auto"/>
        <w:right w:val="none" w:sz="0" w:space="0" w:color="auto"/>
      </w:divBdr>
    </w:div>
    <w:div w:id="1595243980">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chapter/Recommendations" TargetMode="External"/><Relationship Id="rId13" Type="http://schemas.openxmlformats.org/officeDocument/2006/relationships/hyperlink" Target="https://www.nice.org.uk/guidance/ng133/resources/hypertension-in-pregnancy-diagnosis-and-management-pdf-66141717671365" TargetMode="External"/><Relationship Id="rId18" Type="http://schemas.openxmlformats.org/officeDocument/2006/relationships/hyperlink" Target="http://www.bnf.org" TargetMode="External"/><Relationship Id="rId26" Type="http://schemas.openxmlformats.org/officeDocument/2006/relationships/hyperlink" Target="https://www.npeu.ox.ac.uk/assets/downloads/mbrrace-uk/reports/MBRRACE-UK%20Maternal%20Report%202019%20-%20WEB%20VERSION.pdf" TargetMode="External"/><Relationship Id="rId3" Type="http://schemas.openxmlformats.org/officeDocument/2006/relationships/styles" Target="styles.xml"/><Relationship Id="rId21" Type="http://schemas.openxmlformats.org/officeDocument/2006/relationships/hyperlink" Target="http://yellowcard.mhra.gov.uk" TargetMode="Externa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www.medicines.org.uk" TargetMode="External"/><Relationship Id="rId25" Type="http://schemas.openxmlformats.org/officeDocument/2006/relationships/hyperlink" Target="https://www.nice.org.uk/guidance/ng133/resources/hypertension-in-pregnancy-diagnosis-and-management-pdf-66141717671365" TargetMode="External"/><Relationship Id="rId2" Type="http://schemas.openxmlformats.org/officeDocument/2006/relationships/numbering" Target="numbering.xml"/><Relationship Id="rId16" Type="http://schemas.openxmlformats.org/officeDocument/2006/relationships/hyperlink" Target="http://www.bnf.org" TargetMode="External"/><Relationship Id="rId20" Type="http://schemas.openxmlformats.org/officeDocument/2006/relationships/hyperlink" Target="http://www.bnf.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tient-group-directions-pgds/patient-group-directions-who-can-use-them" TargetMode="External"/><Relationship Id="rId24" Type="http://schemas.openxmlformats.org/officeDocument/2006/relationships/hyperlink" Target="https://www.nice.org.uk/guidance/mpg2" TargetMode="Externa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s://bnf.nice.org.uk/" TargetMode="External"/><Relationship Id="rId28" Type="http://schemas.openxmlformats.org/officeDocument/2006/relationships/header" Target="header1.xm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www.medicines.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s://bnf.nice.org.uk/treatment-summary/hypertension.html" TargetMode="External"/><Relationship Id="rId22" Type="http://schemas.openxmlformats.org/officeDocument/2006/relationships/hyperlink" Target="http://www.medicines.org.uk/" TargetMode="External"/><Relationship Id="rId27" Type="http://schemas.openxmlformats.org/officeDocument/2006/relationships/hyperlink" Target="https://www.rcog.org.uk/globalassets/documents/guidelines/gtg_31.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437D-3E24-4227-91BC-342B11AA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21093</CharactersWithSpaces>
  <SharedDoc>false</SharedDoc>
  <HLinks>
    <vt:vector size="120" baseType="variant">
      <vt:variant>
        <vt:i4>2752601</vt:i4>
      </vt:variant>
      <vt:variant>
        <vt:i4>57</vt:i4>
      </vt:variant>
      <vt:variant>
        <vt:i4>0</vt:i4>
      </vt:variant>
      <vt:variant>
        <vt:i4>5</vt:i4>
      </vt:variant>
      <vt:variant>
        <vt:lpwstr>https://www.rcog.org.uk/globalassets/documents/guidelines/gtg_31.pdf</vt:lpwstr>
      </vt:variant>
      <vt:variant>
        <vt:lpwstr/>
      </vt:variant>
      <vt:variant>
        <vt:i4>3735609</vt:i4>
      </vt:variant>
      <vt:variant>
        <vt:i4>54</vt:i4>
      </vt:variant>
      <vt:variant>
        <vt:i4>0</vt:i4>
      </vt:variant>
      <vt:variant>
        <vt:i4>5</vt:i4>
      </vt:variant>
      <vt:variant>
        <vt:lpwstr>https://www.npeu.ox.ac.uk/assets/downloads/mbrrace-uk/reports/MBRRACE-UK Maternal Report 2019 - WEB VERSION.pdf</vt:lpwstr>
      </vt:variant>
      <vt:variant>
        <vt:lpwstr/>
      </vt:variant>
      <vt:variant>
        <vt:i4>6684787</vt:i4>
      </vt:variant>
      <vt:variant>
        <vt:i4>51</vt:i4>
      </vt:variant>
      <vt:variant>
        <vt:i4>0</vt:i4>
      </vt:variant>
      <vt:variant>
        <vt:i4>5</vt:i4>
      </vt:variant>
      <vt:variant>
        <vt:lpwstr>https://www.nice.org.uk/guidance/ng133/resources/hypertension-in-pregnancy-diagnosis-and-management-pdf-66141717671365</vt:lpwstr>
      </vt:variant>
      <vt:variant>
        <vt:lpwstr/>
      </vt:variant>
      <vt:variant>
        <vt:i4>393223</vt:i4>
      </vt:variant>
      <vt:variant>
        <vt:i4>48</vt:i4>
      </vt:variant>
      <vt:variant>
        <vt:i4>0</vt:i4>
      </vt:variant>
      <vt:variant>
        <vt:i4>5</vt:i4>
      </vt:variant>
      <vt:variant>
        <vt:lpwstr>https://www.nice.org.uk/guidance/mpg2</vt:lpwstr>
      </vt:variant>
      <vt:variant>
        <vt:lpwstr/>
      </vt:variant>
      <vt:variant>
        <vt:i4>983120</vt:i4>
      </vt:variant>
      <vt:variant>
        <vt:i4>45</vt:i4>
      </vt:variant>
      <vt:variant>
        <vt:i4>0</vt:i4>
      </vt:variant>
      <vt:variant>
        <vt:i4>5</vt:i4>
      </vt:variant>
      <vt:variant>
        <vt:lpwstr>https://bnf.nice.org.uk/</vt:lpwstr>
      </vt:variant>
      <vt:variant>
        <vt:lpwstr/>
      </vt:variant>
      <vt:variant>
        <vt:i4>917577</vt:i4>
      </vt:variant>
      <vt:variant>
        <vt:i4>42</vt:i4>
      </vt:variant>
      <vt:variant>
        <vt:i4>0</vt:i4>
      </vt:variant>
      <vt:variant>
        <vt:i4>5</vt:i4>
      </vt:variant>
      <vt:variant>
        <vt:lpwstr>http://www.medicines.org.uk/</vt:lpwstr>
      </vt:variant>
      <vt:variant>
        <vt:lpwstr/>
      </vt:variant>
      <vt:variant>
        <vt:i4>2883689</vt:i4>
      </vt:variant>
      <vt:variant>
        <vt:i4>39</vt:i4>
      </vt:variant>
      <vt:variant>
        <vt:i4>0</vt:i4>
      </vt:variant>
      <vt:variant>
        <vt:i4>5</vt:i4>
      </vt:variant>
      <vt:variant>
        <vt:lpwstr>http://yellowcard.mhra.gov.uk/</vt:lpwstr>
      </vt:variant>
      <vt:variant>
        <vt:lpwstr/>
      </vt:variant>
      <vt:variant>
        <vt:i4>2556002</vt:i4>
      </vt:variant>
      <vt:variant>
        <vt:i4>36</vt:i4>
      </vt:variant>
      <vt:variant>
        <vt:i4>0</vt:i4>
      </vt:variant>
      <vt:variant>
        <vt:i4>5</vt:i4>
      </vt:variant>
      <vt:variant>
        <vt:lpwstr>http://www.bnf.org/</vt:lpwstr>
      </vt:variant>
      <vt:variant>
        <vt:lpwstr/>
      </vt:variant>
      <vt:variant>
        <vt:i4>917577</vt:i4>
      </vt:variant>
      <vt:variant>
        <vt:i4>33</vt:i4>
      </vt:variant>
      <vt:variant>
        <vt:i4>0</vt:i4>
      </vt:variant>
      <vt:variant>
        <vt:i4>5</vt:i4>
      </vt:variant>
      <vt:variant>
        <vt:lpwstr>http://www.medicines.org.uk/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5701640</vt:i4>
      </vt:variant>
      <vt:variant>
        <vt:i4>21</vt:i4>
      </vt:variant>
      <vt:variant>
        <vt:i4>0</vt:i4>
      </vt:variant>
      <vt:variant>
        <vt:i4>5</vt:i4>
      </vt:variant>
      <vt:variant>
        <vt:lpwstr>https://www.medicines.org.uk/emc</vt:lpwstr>
      </vt:variant>
      <vt:variant>
        <vt:lpwstr/>
      </vt:variant>
      <vt:variant>
        <vt:i4>7536747</vt:i4>
      </vt:variant>
      <vt:variant>
        <vt:i4>18</vt:i4>
      </vt:variant>
      <vt:variant>
        <vt:i4>0</vt:i4>
      </vt:variant>
      <vt:variant>
        <vt:i4>5</vt:i4>
      </vt:variant>
      <vt:variant>
        <vt:lpwstr>https://bnf.nice.org.uk/treatment-summary/hypertension.html</vt:lpwstr>
      </vt:variant>
      <vt:variant>
        <vt:lpwstr/>
      </vt:variant>
      <vt:variant>
        <vt:i4>6684787</vt:i4>
      </vt:variant>
      <vt:variant>
        <vt:i4>15</vt:i4>
      </vt:variant>
      <vt:variant>
        <vt:i4>0</vt:i4>
      </vt:variant>
      <vt:variant>
        <vt:i4>5</vt:i4>
      </vt:variant>
      <vt:variant>
        <vt:lpwstr>https://www.nice.org.uk/guidance/ng133/resources/hypertension-in-pregnancy-diagnosis-and-management-pdf-66141717671365</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7929955</vt:i4>
      </vt:variant>
      <vt:variant>
        <vt:i4>9</vt:i4>
      </vt:variant>
      <vt:variant>
        <vt:i4>0</vt:i4>
      </vt:variant>
      <vt:variant>
        <vt:i4>5</vt:i4>
      </vt:variant>
      <vt:variant>
        <vt:lpwstr>https://www.gov.uk/government/publications/patient-group-directions-pgds/patient-group-directions-who-can-use-them</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3</cp:revision>
  <cp:lastPrinted>2020-03-24T11:33:00Z</cp:lastPrinted>
  <dcterms:created xsi:type="dcterms:W3CDTF">2024-10-24T13:31:00Z</dcterms:created>
  <dcterms:modified xsi:type="dcterms:W3CDTF">2024-10-24T16:00:00Z</dcterms:modified>
</cp:coreProperties>
</file>