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1" w:type="pct"/>
        <w:tblInd w:w="-176" w:type="dxa"/>
        <w:tblLayout w:type="fixed"/>
        <w:tblLook w:val="01E0" w:firstRow="1" w:lastRow="1" w:firstColumn="1" w:lastColumn="1" w:noHBand="0" w:noVBand="0"/>
      </w:tblPr>
      <w:tblGrid>
        <w:gridCol w:w="10267"/>
      </w:tblGrid>
      <w:tr w:rsidR="00D2402E" w:rsidRPr="00862949" w14:paraId="001D19D1" w14:textId="77777777" w:rsidTr="009B0BCE">
        <w:trPr>
          <w:trHeight w:val="192"/>
        </w:trPr>
        <w:tc>
          <w:tcPr>
            <w:tcW w:w="5000" w:type="pct"/>
            <w:shd w:val="clear" w:color="auto" w:fill="auto"/>
            <w:tcMar>
              <w:top w:w="57" w:type="dxa"/>
              <w:bottom w:w="57" w:type="dxa"/>
            </w:tcMar>
          </w:tcPr>
          <w:p w14:paraId="7B5B7ED1" w14:textId="77777777" w:rsidR="00D2402E" w:rsidRPr="00E369CC" w:rsidRDefault="00860B89" w:rsidP="00F81A28">
            <w:pPr>
              <w:jc w:val="right"/>
              <w:rPr>
                <w:rFonts w:cs="Arial"/>
                <w:b/>
                <w:bCs/>
                <w:iCs/>
                <w:color w:val="0070C0"/>
                <w:sz w:val="15"/>
                <w:szCs w:val="15"/>
                <w:lang w:val="en-US"/>
              </w:rPr>
            </w:pPr>
            <w:r>
              <w:rPr>
                <w:rFonts w:cs="Arial"/>
                <w:b/>
                <w:bCs/>
                <w:iCs/>
                <w:color w:val="333399"/>
                <w:sz w:val="15"/>
                <w:szCs w:val="15"/>
                <w:lang w:val="en-US"/>
              </w:rPr>
              <w:t xml:space="preserve">  </w:t>
            </w:r>
            <w:r w:rsidR="00A3053B">
              <w:rPr>
                <w:rFonts w:cs="Arial"/>
                <w:b/>
                <w:bCs/>
                <w:iCs/>
                <w:color w:val="333399"/>
                <w:sz w:val="15"/>
                <w:szCs w:val="15"/>
                <w:lang w:val="en-US"/>
              </w:rPr>
              <w:t xml:space="preserve"> </w:t>
            </w:r>
            <w:r w:rsidR="00AB34E3" w:rsidRPr="00862949">
              <w:rPr>
                <w:rFonts w:cs="Arial"/>
                <w:b/>
                <w:bCs/>
                <w:iCs/>
                <w:color w:val="333399"/>
                <w:sz w:val="15"/>
                <w:szCs w:val="15"/>
                <w:lang w:val="en-US"/>
              </w:rPr>
              <w:t xml:space="preserve"> </w:t>
            </w:r>
            <w:r w:rsidR="009C539A" w:rsidRPr="00862949">
              <w:rPr>
                <w:rFonts w:cs="Arial"/>
                <w:b/>
                <w:bCs/>
                <w:iCs/>
                <w:color w:val="333399"/>
                <w:sz w:val="15"/>
                <w:szCs w:val="15"/>
                <w:lang w:val="en-US"/>
              </w:rPr>
              <w:t xml:space="preserve"> </w:t>
            </w:r>
            <w:hyperlink r:id="rId8" w:tgtFrame="_blank" w:history="1">
              <w:r w:rsidR="00F81A28" w:rsidRPr="009B0BCE">
                <w:rPr>
                  <w:rStyle w:val="Hyperlink"/>
                  <w:rFonts w:ascii="Arial" w:hAnsi="Arial" w:cs="Arial"/>
                  <w:b/>
                  <w:bCs/>
                  <w:iCs/>
                  <w:color w:val="0070C0"/>
                  <w:sz w:val="20"/>
                  <w:szCs w:val="15"/>
                  <w:lang w:val="en-US"/>
                </w:rPr>
                <w:t>SPS</w:t>
              </w:r>
              <w:r w:rsidR="00D2402E" w:rsidRPr="009B0BCE">
                <w:rPr>
                  <w:rStyle w:val="Hyperlink"/>
                  <w:rFonts w:ascii="Arial" w:hAnsi="Arial" w:cs="Arial"/>
                  <w:b/>
                  <w:bCs/>
                  <w:iCs/>
                  <w:color w:val="0070C0"/>
                  <w:sz w:val="20"/>
                  <w:szCs w:val="15"/>
                  <w:lang w:val="en-US"/>
                </w:rPr>
                <w:t xml:space="preserve"> home</w:t>
              </w:r>
            </w:hyperlink>
            <w:r w:rsidR="00D2402E" w:rsidRPr="009B0BCE">
              <w:rPr>
                <w:rFonts w:cs="Arial"/>
                <w:b/>
                <w:bCs/>
                <w:iCs/>
                <w:color w:val="0070C0"/>
                <w:sz w:val="20"/>
                <w:szCs w:val="15"/>
                <w:lang w:val="en-US"/>
              </w:rPr>
              <w:t xml:space="preserve"> | </w:t>
            </w:r>
            <w:hyperlink r:id="rId9" w:history="1">
              <w:r w:rsidR="00D2402E" w:rsidRPr="009B0BCE">
                <w:rPr>
                  <w:rStyle w:val="Hyperlink"/>
                  <w:rFonts w:ascii="Arial" w:hAnsi="Arial" w:cs="Arial"/>
                  <w:b/>
                  <w:bCs/>
                  <w:iCs/>
                  <w:color w:val="0070C0"/>
                  <w:sz w:val="20"/>
                  <w:szCs w:val="15"/>
                  <w:lang w:val="en-US"/>
                </w:rPr>
                <w:t>Contact</w:t>
              </w:r>
            </w:hyperlink>
          </w:p>
        </w:tc>
      </w:tr>
    </w:tbl>
    <w:p w14:paraId="777428C9" w14:textId="77777777" w:rsidR="00B85859" w:rsidRDefault="00B85859" w:rsidP="00727945">
      <w:pPr>
        <w:rPr>
          <w:rFonts w:ascii="Latha" w:hAnsi="Latha" w:cs="Latha"/>
          <w:sz w:val="8"/>
          <w:szCs w:val="8"/>
        </w:rPr>
      </w:pPr>
    </w:p>
    <w:tbl>
      <w:tblPr>
        <w:tblW w:w="5170" w:type="pct"/>
        <w:tblInd w:w="-176" w:type="dxa"/>
        <w:tblLayout w:type="fixed"/>
        <w:tblLook w:val="01E0" w:firstRow="1" w:lastRow="1" w:firstColumn="1" w:lastColumn="1" w:noHBand="0" w:noVBand="0"/>
      </w:tblPr>
      <w:tblGrid>
        <w:gridCol w:w="3193"/>
        <w:gridCol w:w="7358"/>
      </w:tblGrid>
      <w:tr w:rsidR="0020101A" w:rsidRPr="00862949" w14:paraId="4223CC23" w14:textId="77777777" w:rsidTr="002772ED">
        <w:tc>
          <w:tcPr>
            <w:tcW w:w="5000" w:type="pct"/>
            <w:gridSpan w:val="2"/>
            <w:shd w:val="clear" w:color="auto" w:fill="0070C0"/>
            <w:tcMar>
              <w:top w:w="85" w:type="dxa"/>
              <w:bottom w:w="85" w:type="dxa"/>
            </w:tcMar>
            <w:vAlign w:val="bottom"/>
          </w:tcPr>
          <w:p w14:paraId="3E4D9A43" w14:textId="77777777" w:rsidR="0020101A" w:rsidRPr="00862949" w:rsidRDefault="0020101A" w:rsidP="00720F9E">
            <w:pPr>
              <w:rPr>
                <w:rFonts w:cs="Arial"/>
                <w:color w:val="FFFFFF"/>
                <w:sz w:val="15"/>
                <w:szCs w:val="15"/>
              </w:rPr>
            </w:pPr>
            <w:r>
              <w:rPr>
                <w:rFonts w:cs="Arial"/>
                <w:b/>
                <w:bCs/>
                <w:iCs/>
                <w:color w:val="FFFFFF"/>
                <w:sz w:val="28"/>
                <w:szCs w:val="28"/>
                <w:lang w:val="en-US"/>
              </w:rPr>
              <w:t>New product information</w:t>
            </w:r>
            <w:r w:rsidRPr="00862949">
              <w:rPr>
                <w:rFonts w:cs="Arial"/>
                <w:b/>
                <w:bCs/>
                <w:iCs/>
                <w:color w:val="FFFFFF"/>
                <w:sz w:val="28"/>
                <w:szCs w:val="28"/>
                <w:lang w:val="en-US"/>
              </w:rPr>
              <w:tab/>
            </w:r>
          </w:p>
        </w:tc>
      </w:tr>
      <w:tr w:rsidR="0020101A" w:rsidRPr="00862949" w14:paraId="328E3FA5" w14:textId="77777777" w:rsidTr="002772ED">
        <w:tc>
          <w:tcPr>
            <w:tcW w:w="5000" w:type="pct"/>
            <w:gridSpan w:val="2"/>
            <w:shd w:val="clear" w:color="auto" w:fill="DAEEF3"/>
            <w:tcMar>
              <w:top w:w="0" w:type="dxa"/>
              <w:bottom w:w="0" w:type="dxa"/>
            </w:tcMar>
          </w:tcPr>
          <w:p w14:paraId="725B45B6" w14:textId="77777777" w:rsidR="0020101A" w:rsidRPr="00862949" w:rsidRDefault="0020101A" w:rsidP="00720F9E">
            <w:pPr>
              <w:rPr>
                <w:rFonts w:cs="Arial"/>
                <w:b/>
                <w:bCs/>
                <w:i/>
                <w:iCs/>
                <w:color w:val="000000"/>
                <w:sz w:val="8"/>
                <w:szCs w:val="8"/>
                <w:lang w:val="en-US"/>
              </w:rPr>
            </w:pPr>
          </w:p>
        </w:tc>
      </w:tr>
      <w:tr w:rsidR="0020101A" w:rsidRPr="00862949" w14:paraId="3F54D0AE" w14:textId="77777777" w:rsidTr="002772ED">
        <w:tc>
          <w:tcPr>
            <w:tcW w:w="5000" w:type="pct"/>
            <w:gridSpan w:val="2"/>
            <w:shd w:val="clear" w:color="auto" w:fill="00B050"/>
            <w:tcMar>
              <w:top w:w="57" w:type="dxa"/>
              <w:bottom w:w="57" w:type="dxa"/>
            </w:tcMar>
          </w:tcPr>
          <w:p w14:paraId="162C5F68" w14:textId="77777777" w:rsidR="0020101A" w:rsidRPr="00433D3E" w:rsidRDefault="0020101A" w:rsidP="00720F9E">
            <w:pPr>
              <w:rPr>
                <w:rFonts w:cs="Arial"/>
                <w:color w:val="FFFFFF"/>
                <w:sz w:val="20"/>
                <w:szCs w:val="20"/>
              </w:rPr>
            </w:pPr>
            <w:r w:rsidRPr="00433D3E">
              <w:rPr>
                <w:rFonts w:cs="Arial"/>
                <w:b/>
                <w:bCs/>
                <w:i/>
                <w:iCs/>
                <w:color w:val="FFFFFF"/>
                <w:sz w:val="22"/>
                <w:szCs w:val="20"/>
                <w:lang w:val="en-US"/>
              </w:rPr>
              <w:t>Launched in the UK (or licence change for existing products)</w:t>
            </w:r>
          </w:p>
        </w:tc>
      </w:tr>
      <w:tr w:rsidR="00F24EBF" w:rsidRPr="00131D4C" w14:paraId="076544DB" w14:textId="77777777" w:rsidTr="003D2915">
        <w:tc>
          <w:tcPr>
            <w:tcW w:w="1513" w:type="pct"/>
            <w:shd w:val="clear" w:color="auto" w:fill="auto"/>
            <w:tcMar>
              <w:top w:w="57" w:type="dxa"/>
              <w:left w:w="170" w:type="dxa"/>
              <w:bottom w:w="57" w:type="dxa"/>
              <w:right w:w="170" w:type="dxa"/>
            </w:tcMar>
          </w:tcPr>
          <w:p w14:paraId="4CABDE48" w14:textId="26A8CAEF" w:rsidR="00F24EBF" w:rsidRDefault="00F24EBF" w:rsidP="00F24EBF">
            <w:r>
              <w:rPr>
                <w:rFonts w:cs="Arial"/>
                <w:szCs w:val="19"/>
              </w:rPr>
              <w:t>Adalimuma</w:t>
            </w:r>
            <w:r w:rsidR="00F10D51">
              <w:rPr>
                <w:rFonts w:cs="Arial"/>
                <w:szCs w:val="19"/>
              </w:rPr>
              <w:t>b biosimilar</w:t>
            </w:r>
            <w:r>
              <w:rPr>
                <w:rFonts w:cs="Arial"/>
                <w:szCs w:val="19"/>
              </w:rPr>
              <w:t xml:space="preserve"> (</w:t>
            </w:r>
            <w:proofErr w:type="spellStart"/>
            <w:r>
              <w:rPr>
                <w:rFonts w:cs="Arial"/>
                <w:i/>
                <w:iCs/>
                <w:szCs w:val="19"/>
              </w:rPr>
              <w:t>Hyrimoz</w:t>
            </w:r>
            <w:proofErr w:type="spellEnd"/>
            <w:r>
              <w:rPr>
                <w:rFonts w:cs="Arial"/>
                <w:szCs w:val="19"/>
              </w:rPr>
              <w:t>)</w:t>
            </w:r>
            <w:r>
              <w:t xml:space="preserve"> </w:t>
            </w:r>
          </w:p>
          <w:p w14:paraId="33D66A05" w14:textId="787B4832" w:rsidR="00F24EBF" w:rsidRPr="0011452F" w:rsidRDefault="00F24EBF" w:rsidP="00F24EBF">
            <w:pPr>
              <w:rPr>
                <w:rFonts w:cs="Arial"/>
                <w:szCs w:val="19"/>
              </w:rPr>
            </w:pPr>
            <w:r w:rsidRPr="00F707D9">
              <w:rPr>
                <w:rFonts w:cs="Arial"/>
                <w:sz w:val="16"/>
                <w:szCs w:val="16"/>
              </w:rPr>
              <w:t>40mg</w:t>
            </w:r>
            <w:r>
              <w:rPr>
                <w:rFonts w:cs="Arial"/>
                <w:sz w:val="16"/>
                <w:szCs w:val="16"/>
              </w:rPr>
              <w:t xml:space="preserve"> in </w:t>
            </w:r>
            <w:r w:rsidRPr="00F707D9">
              <w:rPr>
                <w:rFonts w:cs="Arial"/>
                <w:sz w:val="16"/>
                <w:szCs w:val="16"/>
              </w:rPr>
              <w:t>0.4m</w:t>
            </w:r>
            <w:r>
              <w:rPr>
                <w:rFonts w:cs="Arial"/>
                <w:sz w:val="16"/>
                <w:szCs w:val="16"/>
              </w:rPr>
              <w:t>l and</w:t>
            </w:r>
            <w:r w:rsidRPr="00F707D9">
              <w:rPr>
                <w:rFonts w:cs="Arial"/>
                <w:sz w:val="16"/>
                <w:szCs w:val="16"/>
              </w:rPr>
              <w:t xml:space="preserve"> 80mg</w:t>
            </w:r>
            <w:r>
              <w:rPr>
                <w:rFonts w:cs="Arial"/>
                <w:sz w:val="16"/>
                <w:szCs w:val="16"/>
              </w:rPr>
              <w:t xml:space="preserve"> in </w:t>
            </w:r>
            <w:r w:rsidRPr="00F707D9">
              <w:rPr>
                <w:rFonts w:cs="Arial"/>
                <w:sz w:val="16"/>
                <w:szCs w:val="16"/>
              </w:rPr>
              <w:t>0.8m</w:t>
            </w:r>
            <w:r>
              <w:rPr>
                <w:rFonts w:cs="Arial"/>
                <w:sz w:val="16"/>
                <w:szCs w:val="16"/>
              </w:rPr>
              <w:t>L</w:t>
            </w:r>
            <w:r w:rsidRPr="00F707D9">
              <w:rPr>
                <w:rFonts w:cs="Arial"/>
                <w:sz w:val="16"/>
                <w:szCs w:val="16"/>
              </w:rPr>
              <w:t xml:space="preserve"> pre-filled pen</w:t>
            </w:r>
            <w:r>
              <w:rPr>
                <w:rFonts w:cs="Arial"/>
                <w:sz w:val="16"/>
                <w:szCs w:val="16"/>
              </w:rPr>
              <w:t>s</w:t>
            </w:r>
            <w:r w:rsidRPr="00F707D9">
              <w:rPr>
                <w:rFonts w:cs="Arial"/>
                <w:sz w:val="16"/>
                <w:szCs w:val="16"/>
              </w:rPr>
              <w:t xml:space="preserve"> </w:t>
            </w:r>
            <w:r>
              <w:rPr>
                <w:rFonts w:cs="Arial"/>
                <w:sz w:val="16"/>
                <w:szCs w:val="16"/>
              </w:rPr>
              <w:t xml:space="preserve">and </w:t>
            </w:r>
            <w:r w:rsidRPr="00F707D9">
              <w:rPr>
                <w:rFonts w:cs="Arial"/>
                <w:sz w:val="16"/>
                <w:szCs w:val="16"/>
              </w:rPr>
              <w:t>20mg</w:t>
            </w:r>
            <w:r>
              <w:rPr>
                <w:rFonts w:cs="Arial"/>
                <w:sz w:val="16"/>
                <w:szCs w:val="16"/>
              </w:rPr>
              <w:t xml:space="preserve"> in </w:t>
            </w:r>
            <w:r w:rsidRPr="00F707D9">
              <w:rPr>
                <w:rFonts w:cs="Arial"/>
                <w:sz w:val="16"/>
                <w:szCs w:val="16"/>
              </w:rPr>
              <w:t>0.2m</w:t>
            </w:r>
            <w:r>
              <w:rPr>
                <w:rFonts w:cs="Arial"/>
                <w:sz w:val="16"/>
                <w:szCs w:val="16"/>
              </w:rPr>
              <w:t>L</w:t>
            </w:r>
            <w:r w:rsidRPr="00F707D9">
              <w:rPr>
                <w:rFonts w:cs="Arial"/>
                <w:sz w:val="16"/>
                <w:szCs w:val="16"/>
              </w:rPr>
              <w:t>, 40mg</w:t>
            </w:r>
            <w:r>
              <w:rPr>
                <w:rFonts w:cs="Arial"/>
                <w:sz w:val="16"/>
                <w:szCs w:val="16"/>
              </w:rPr>
              <w:t xml:space="preserve"> in </w:t>
            </w:r>
            <w:r w:rsidRPr="00F707D9">
              <w:rPr>
                <w:rFonts w:cs="Arial"/>
                <w:sz w:val="16"/>
                <w:szCs w:val="16"/>
              </w:rPr>
              <w:t>0.4m</w:t>
            </w:r>
            <w:r>
              <w:rPr>
                <w:rFonts w:cs="Arial"/>
                <w:sz w:val="16"/>
                <w:szCs w:val="16"/>
              </w:rPr>
              <w:t>L and</w:t>
            </w:r>
            <w:r w:rsidRPr="00F707D9">
              <w:rPr>
                <w:rFonts w:cs="Arial"/>
                <w:sz w:val="16"/>
                <w:szCs w:val="16"/>
              </w:rPr>
              <w:t xml:space="preserve"> 80mg</w:t>
            </w:r>
            <w:r>
              <w:rPr>
                <w:rFonts w:cs="Arial"/>
                <w:sz w:val="16"/>
                <w:szCs w:val="16"/>
              </w:rPr>
              <w:t xml:space="preserve"> in </w:t>
            </w:r>
            <w:r w:rsidRPr="00F707D9">
              <w:rPr>
                <w:rFonts w:cs="Arial"/>
                <w:sz w:val="16"/>
                <w:szCs w:val="16"/>
              </w:rPr>
              <w:t>0.8m</w:t>
            </w:r>
            <w:r>
              <w:rPr>
                <w:rFonts w:cs="Arial"/>
                <w:sz w:val="16"/>
                <w:szCs w:val="16"/>
              </w:rPr>
              <w:t>L</w:t>
            </w:r>
            <w:r w:rsidRPr="00F707D9">
              <w:rPr>
                <w:rFonts w:cs="Arial"/>
                <w:sz w:val="16"/>
                <w:szCs w:val="16"/>
              </w:rPr>
              <w:t xml:space="preserve"> prefilled syringe</w:t>
            </w:r>
            <w:r>
              <w:rPr>
                <w:rFonts w:cs="Arial"/>
                <w:sz w:val="16"/>
                <w:szCs w:val="16"/>
              </w:rPr>
              <w:t>s</w:t>
            </w:r>
          </w:p>
        </w:tc>
        <w:tc>
          <w:tcPr>
            <w:tcW w:w="3487" w:type="pct"/>
            <w:shd w:val="clear" w:color="auto" w:fill="auto"/>
            <w:tcMar>
              <w:top w:w="57" w:type="dxa"/>
              <w:left w:w="170" w:type="dxa"/>
              <w:bottom w:w="57" w:type="dxa"/>
              <w:right w:w="170" w:type="dxa"/>
            </w:tcMar>
          </w:tcPr>
          <w:p w14:paraId="43AE0E3E" w14:textId="09D35ECA" w:rsidR="00F24EBF" w:rsidRPr="009C4947" w:rsidRDefault="00F24EBF" w:rsidP="00F24EBF">
            <w:pPr>
              <w:tabs>
                <w:tab w:val="center" w:pos="3152"/>
              </w:tabs>
              <w:rPr>
                <w:rFonts w:cs="Arial"/>
                <w:szCs w:val="19"/>
                <w:lang w:val="en-US"/>
              </w:rPr>
            </w:pPr>
            <w:r w:rsidRPr="00F707D9">
              <w:rPr>
                <w:rFonts w:cs="Arial"/>
                <w:szCs w:val="19"/>
                <w:lang w:val="en-US"/>
              </w:rPr>
              <w:t>Treatment of rheumatoid arthritis, axial spondyloarthritis, psoriatic arthritis, psoriasis, Crohn´s disease, ulcerative colitis and uveitis in adults, hidradenitis suppurativa in adults and adolescents, juvenile idiopathic arthritis, paediatric plaque psoriasis, paediatric Crohn´s disease, paediatric ulcerative colitis and paediat</w:t>
            </w:r>
            <w:r>
              <w:rPr>
                <w:rFonts w:cs="Arial"/>
                <w:szCs w:val="19"/>
                <w:lang w:val="en-US"/>
              </w:rPr>
              <w:t>r</w:t>
            </w:r>
            <w:r w:rsidRPr="00F707D9">
              <w:rPr>
                <w:rFonts w:cs="Arial"/>
                <w:szCs w:val="19"/>
                <w:lang w:val="en-US"/>
              </w:rPr>
              <w:t>ic uveitis</w:t>
            </w:r>
            <w:r>
              <w:rPr>
                <w:rFonts w:cs="Arial"/>
                <w:szCs w:val="19"/>
                <w:lang w:val="en-US"/>
              </w:rPr>
              <w:t xml:space="preserve"> </w:t>
            </w:r>
            <w:r w:rsidRPr="00F707D9">
              <w:rPr>
                <w:rFonts w:cs="Arial"/>
                <w:sz w:val="16"/>
                <w:szCs w:val="16"/>
                <w:lang w:val="en-US"/>
              </w:rPr>
              <w:t>[new citrate-free 100mg/mL formulations]</w:t>
            </w:r>
          </w:p>
        </w:tc>
      </w:tr>
      <w:tr w:rsidR="00F24EBF" w:rsidRPr="00131D4C" w14:paraId="5522E3CE" w14:textId="77777777" w:rsidTr="003D2915">
        <w:tc>
          <w:tcPr>
            <w:tcW w:w="1513" w:type="pct"/>
            <w:shd w:val="clear" w:color="auto" w:fill="auto"/>
            <w:tcMar>
              <w:top w:w="57" w:type="dxa"/>
              <w:left w:w="170" w:type="dxa"/>
              <w:bottom w:w="57" w:type="dxa"/>
              <w:right w:w="170" w:type="dxa"/>
            </w:tcMar>
          </w:tcPr>
          <w:p w14:paraId="7CCF4A24" w14:textId="77777777" w:rsidR="00F24EBF" w:rsidRDefault="00F24EBF" w:rsidP="00F24EBF">
            <w:pPr>
              <w:rPr>
                <w:rFonts w:cs="Arial"/>
                <w:szCs w:val="19"/>
              </w:rPr>
            </w:pPr>
            <w:r>
              <w:rPr>
                <w:rFonts w:cs="Arial"/>
                <w:szCs w:val="19"/>
              </w:rPr>
              <w:t>Apalutamide (</w:t>
            </w:r>
            <w:proofErr w:type="spellStart"/>
            <w:r>
              <w:rPr>
                <w:rFonts w:cs="Arial"/>
                <w:szCs w:val="19"/>
              </w:rPr>
              <w:t>Erleada</w:t>
            </w:r>
            <w:proofErr w:type="spellEnd"/>
            <w:r>
              <w:rPr>
                <w:rFonts w:cs="Arial"/>
                <w:szCs w:val="19"/>
              </w:rPr>
              <w:t>)</w:t>
            </w:r>
          </w:p>
          <w:p w14:paraId="530F415A" w14:textId="375C34D9" w:rsidR="00F24EBF" w:rsidRPr="00CB7CB1" w:rsidRDefault="00F24EBF" w:rsidP="00F24EBF">
            <w:pPr>
              <w:rPr>
                <w:rFonts w:cs="Arial"/>
                <w:szCs w:val="19"/>
              </w:rPr>
            </w:pPr>
            <w:r w:rsidRPr="004B5AE7">
              <w:rPr>
                <w:rFonts w:cs="Arial"/>
                <w:sz w:val="16"/>
                <w:szCs w:val="16"/>
              </w:rPr>
              <w:t>240mg tablet</w:t>
            </w:r>
          </w:p>
        </w:tc>
        <w:tc>
          <w:tcPr>
            <w:tcW w:w="3487" w:type="pct"/>
            <w:shd w:val="clear" w:color="auto" w:fill="auto"/>
            <w:tcMar>
              <w:top w:w="57" w:type="dxa"/>
              <w:left w:w="170" w:type="dxa"/>
              <w:bottom w:w="57" w:type="dxa"/>
              <w:right w:w="170" w:type="dxa"/>
            </w:tcMar>
          </w:tcPr>
          <w:p w14:paraId="676446B7" w14:textId="77777777" w:rsidR="00F24EBF" w:rsidRPr="004B5AE7" w:rsidRDefault="00F24EBF" w:rsidP="00F24EBF">
            <w:pPr>
              <w:tabs>
                <w:tab w:val="center" w:pos="3152"/>
              </w:tabs>
              <w:rPr>
                <w:rFonts w:cs="Arial"/>
                <w:szCs w:val="19"/>
                <w:lang w:val="en-US"/>
              </w:rPr>
            </w:pPr>
            <w:r>
              <w:rPr>
                <w:rFonts w:cs="Arial"/>
                <w:szCs w:val="19"/>
                <w:lang w:val="en-US"/>
              </w:rPr>
              <w:t xml:space="preserve">Use </w:t>
            </w:r>
            <w:r w:rsidRPr="004B5AE7">
              <w:rPr>
                <w:rFonts w:cs="Arial"/>
                <w:szCs w:val="19"/>
                <w:lang w:val="en-US"/>
              </w:rPr>
              <w:t>in adult men for the treatment of non-metastatic castration-resistant prostate</w:t>
            </w:r>
          </w:p>
          <w:p w14:paraId="0B4AF197" w14:textId="0CF9CB2D" w:rsidR="00F24EBF" w:rsidRDefault="00F24EBF" w:rsidP="00F24EBF">
            <w:pPr>
              <w:tabs>
                <w:tab w:val="center" w:pos="3152"/>
              </w:tabs>
              <w:rPr>
                <w:rFonts w:cs="Arial"/>
                <w:bCs/>
                <w:szCs w:val="19"/>
              </w:rPr>
            </w:pPr>
            <w:r w:rsidRPr="004B5AE7">
              <w:rPr>
                <w:rFonts w:cs="Arial"/>
                <w:szCs w:val="19"/>
                <w:lang w:val="en-US"/>
              </w:rPr>
              <w:t>cancer who are at high risk of developing metastatic disease</w:t>
            </w:r>
            <w:r>
              <w:rPr>
                <w:rFonts w:cs="Arial"/>
                <w:szCs w:val="19"/>
                <w:lang w:val="en-US"/>
              </w:rPr>
              <w:t>, and</w:t>
            </w:r>
            <w:r w:rsidRPr="004B5AE7">
              <w:rPr>
                <w:rFonts w:cs="Arial"/>
                <w:szCs w:val="19"/>
                <w:lang w:val="en-US"/>
              </w:rPr>
              <w:t xml:space="preserve"> for the treatment of metastatic hormone-sensitive prostate cancer</w:t>
            </w:r>
            <w:r>
              <w:rPr>
                <w:rFonts w:cs="Arial"/>
                <w:szCs w:val="19"/>
                <w:lang w:val="en-US"/>
              </w:rPr>
              <w:t xml:space="preserve"> </w:t>
            </w:r>
            <w:r w:rsidRPr="004B5AE7">
              <w:rPr>
                <w:rFonts w:cs="Arial"/>
                <w:szCs w:val="19"/>
                <w:lang w:val="en-US"/>
              </w:rPr>
              <w:t>in combination with androgen deprivation therapy</w:t>
            </w:r>
            <w:r>
              <w:rPr>
                <w:rFonts w:cs="Arial"/>
                <w:szCs w:val="19"/>
                <w:lang w:val="en-US"/>
              </w:rPr>
              <w:t xml:space="preserve"> </w:t>
            </w:r>
            <w:r w:rsidRPr="004B5AE7">
              <w:rPr>
                <w:rFonts w:cs="Arial"/>
                <w:sz w:val="16"/>
                <w:szCs w:val="16"/>
                <w:lang w:val="en-US"/>
              </w:rPr>
              <w:t>[new high-strength formulation]</w:t>
            </w:r>
          </w:p>
        </w:tc>
      </w:tr>
      <w:tr w:rsidR="00F24EBF" w:rsidRPr="00131D4C" w14:paraId="6C6C4888" w14:textId="77777777" w:rsidTr="003D2915">
        <w:tc>
          <w:tcPr>
            <w:tcW w:w="1513" w:type="pct"/>
            <w:shd w:val="clear" w:color="auto" w:fill="auto"/>
            <w:tcMar>
              <w:top w:w="57" w:type="dxa"/>
              <w:left w:w="170" w:type="dxa"/>
              <w:bottom w:w="57" w:type="dxa"/>
              <w:right w:w="170" w:type="dxa"/>
            </w:tcMar>
          </w:tcPr>
          <w:p w14:paraId="7222E375" w14:textId="77777777" w:rsidR="00F24EBF" w:rsidRDefault="00F24EBF" w:rsidP="00F24EBF">
            <w:pPr>
              <w:rPr>
                <w:rFonts w:cs="Arial"/>
                <w:szCs w:val="19"/>
              </w:rPr>
            </w:pPr>
            <w:r w:rsidRPr="00082B5C">
              <w:rPr>
                <w:rFonts w:cs="Arial"/>
                <w:szCs w:val="19"/>
              </w:rPr>
              <w:t>COVID-19 vaccine</w:t>
            </w:r>
            <w:r>
              <w:rPr>
                <w:rFonts w:cs="Arial"/>
                <w:szCs w:val="19"/>
              </w:rPr>
              <w:t xml:space="preserve"> </w:t>
            </w:r>
          </w:p>
          <w:p w14:paraId="6BADDBEA" w14:textId="77777777" w:rsidR="00F24EBF" w:rsidRDefault="00F24EBF" w:rsidP="00F24EBF">
            <w:pPr>
              <w:rPr>
                <w:rFonts w:cs="Arial"/>
                <w:szCs w:val="19"/>
              </w:rPr>
            </w:pPr>
            <w:r>
              <w:rPr>
                <w:rFonts w:cs="Arial"/>
                <w:szCs w:val="19"/>
              </w:rPr>
              <w:t>(</w:t>
            </w:r>
            <w:r w:rsidRPr="00082B5C">
              <w:rPr>
                <w:rFonts w:cs="Arial"/>
                <w:i/>
                <w:iCs/>
                <w:szCs w:val="19"/>
              </w:rPr>
              <w:t>Nuvaxovid XBB.1.5</w:t>
            </w:r>
            <w:r>
              <w:rPr>
                <w:rFonts w:cs="Arial"/>
                <w:szCs w:val="19"/>
              </w:rPr>
              <w:t xml:space="preserve">) </w:t>
            </w:r>
          </w:p>
          <w:p w14:paraId="52533B58" w14:textId="13096D2C" w:rsidR="00F24EBF" w:rsidRPr="00082B5C" w:rsidRDefault="00F24EBF" w:rsidP="00F24EBF">
            <w:pPr>
              <w:rPr>
                <w:rFonts w:cs="Arial"/>
                <w:szCs w:val="19"/>
              </w:rPr>
            </w:pPr>
            <w:r w:rsidRPr="00082B5C">
              <w:rPr>
                <w:rFonts w:cs="Arial"/>
                <w:sz w:val="16"/>
                <w:szCs w:val="16"/>
              </w:rPr>
              <w:t>5-dose multidose vial</w:t>
            </w:r>
          </w:p>
        </w:tc>
        <w:tc>
          <w:tcPr>
            <w:tcW w:w="3487" w:type="pct"/>
            <w:shd w:val="clear" w:color="auto" w:fill="auto"/>
            <w:tcMar>
              <w:top w:w="57" w:type="dxa"/>
              <w:left w:w="170" w:type="dxa"/>
              <w:bottom w:w="57" w:type="dxa"/>
              <w:right w:w="170" w:type="dxa"/>
            </w:tcMar>
          </w:tcPr>
          <w:p w14:paraId="5E187C7A" w14:textId="6A5CC74B" w:rsidR="00F24EBF" w:rsidRPr="009B0BCE" w:rsidRDefault="00F24EBF" w:rsidP="00F24EBF">
            <w:pPr>
              <w:tabs>
                <w:tab w:val="center" w:pos="3152"/>
              </w:tabs>
              <w:rPr>
                <w:rFonts w:cs="Arial"/>
                <w:color w:val="000000"/>
                <w:sz w:val="20"/>
                <w:szCs w:val="18"/>
                <w:lang w:val="en-US"/>
              </w:rPr>
            </w:pPr>
            <w:r w:rsidRPr="00082B5C">
              <w:rPr>
                <w:rFonts w:cs="Arial"/>
                <w:color w:val="000000"/>
                <w:sz w:val="20"/>
                <w:szCs w:val="18"/>
              </w:rPr>
              <w:t xml:space="preserve">Active immunisation to prevent COVID-19 caused by SARS-CoV-2 in individuals </w:t>
            </w:r>
            <w:r>
              <w:rPr>
                <w:rFonts w:cs="Arial"/>
                <w:color w:val="000000"/>
                <w:sz w:val="20"/>
                <w:szCs w:val="18"/>
              </w:rPr>
              <w:t>aged ≥</w:t>
            </w:r>
            <w:r w:rsidRPr="00082B5C">
              <w:rPr>
                <w:rFonts w:cs="Arial"/>
                <w:color w:val="000000"/>
                <w:sz w:val="20"/>
                <w:szCs w:val="18"/>
              </w:rPr>
              <w:t>12 years</w:t>
            </w:r>
          </w:p>
        </w:tc>
      </w:tr>
      <w:tr w:rsidR="00F24EBF" w:rsidRPr="00131D4C" w14:paraId="79193183" w14:textId="77777777" w:rsidTr="003D2915">
        <w:tc>
          <w:tcPr>
            <w:tcW w:w="1513" w:type="pct"/>
            <w:shd w:val="clear" w:color="auto" w:fill="auto"/>
            <w:tcMar>
              <w:top w:w="57" w:type="dxa"/>
              <w:left w:w="170" w:type="dxa"/>
              <w:bottom w:w="57" w:type="dxa"/>
              <w:right w:w="170" w:type="dxa"/>
            </w:tcMar>
          </w:tcPr>
          <w:p w14:paraId="22A72D6D" w14:textId="77777777" w:rsidR="00F24EBF" w:rsidRDefault="00F24EBF" w:rsidP="00F24EBF">
            <w:pPr>
              <w:rPr>
                <w:rFonts w:cs="Arial"/>
                <w:szCs w:val="19"/>
              </w:rPr>
            </w:pPr>
            <w:r>
              <w:rPr>
                <w:rFonts w:cs="Arial"/>
                <w:szCs w:val="19"/>
              </w:rPr>
              <w:t>Denosumab (</w:t>
            </w:r>
            <w:proofErr w:type="spellStart"/>
            <w:r>
              <w:rPr>
                <w:rFonts w:cs="Arial"/>
                <w:i/>
                <w:iCs/>
                <w:szCs w:val="19"/>
              </w:rPr>
              <w:t>Xgeva</w:t>
            </w:r>
            <w:proofErr w:type="spellEnd"/>
            <w:r>
              <w:rPr>
                <w:rFonts w:cs="Arial"/>
                <w:szCs w:val="19"/>
              </w:rPr>
              <w:t xml:space="preserve">) </w:t>
            </w:r>
          </w:p>
          <w:p w14:paraId="11277F0C" w14:textId="02867CC0" w:rsidR="00F24EBF" w:rsidRPr="00EA51C2" w:rsidRDefault="00F24EBF" w:rsidP="00F24EBF">
            <w:pPr>
              <w:rPr>
                <w:rFonts w:cs="Arial"/>
                <w:szCs w:val="19"/>
              </w:rPr>
            </w:pPr>
            <w:r w:rsidRPr="00FE5305">
              <w:rPr>
                <w:rFonts w:cs="Arial"/>
                <w:sz w:val="16"/>
                <w:szCs w:val="16"/>
              </w:rPr>
              <w:t xml:space="preserve">120mg </w:t>
            </w:r>
            <w:r>
              <w:rPr>
                <w:rFonts w:cs="Arial"/>
                <w:sz w:val="16"/>
                <w:szCs w:val="16"/>
              </w:rPr>
              <w:t xml:space="preserve">in 1.7mL </w:t>
            </w:r>
            <w:r w:rsidRPr="00FE5305">
              <w:rPr>
                <w:rFonts w:cs="Arial"/>
                <w:sz w:val="16"/>
                <w:szCs w:val="16"/>
              </w:rPr>
              <w:t>prefilled sy</w:t>
            </w:r>
            <w:r>
              <w:rPr>
                <w:rFonts w:cs="Arial"/>
                <w:sz w:val="16"/>
                <w:szCs w:val="16"/>
              </w:rPr>
              <w:t>r</w:t>
            </w:r>
            <w:r w:rsidRPr="00FE5305">
              <w:rPr>
                <w:rFonts w:cs="Arial"/>
                <w:sz w:val="16"/>
                <w:szCs w:val="16"/>
              </w:rPr>
              <w:t>inge</w:t>
            </w:r>
          </w:p>
        </w:tc>
        <w:tc>
          <w:tcPr>
            <w:tcW w:w="3487" w:type="pct"/>
            <w:shd w:val="clear" w:color="auto" w:fill="auto"/>
            <w:tcMar>
              <w:top w:w="57" w:type="dxa"/>
              <w:left w:w="170" w:type="dxa"/>
              <w:bottom w:w="57" w:type="dxa"/>
              <w:right w:w="170" w:type="dxa"/>
            </w:tcMar>
          </w:tcPr>
          <w:p w14:paraId="3341A9BB" w14:textId="73F98B99" w:rsidR="00F24EBF" w:rsidRPr="00B64A1C" w:rsidRDefault="00F24EBF" w:rsidP="00F24EBF">
            <w:pPr>
              <w:tabs>
                <w:tab w:val="center" w:pos="3152"/>
              </w:tabs>
              <w:rPr>
                <w:rFonts w:cs="Arial"/>
                <w:sz w:val="18"/>
                <w:szCs w:val="18"/>
              </w:rPr>
            </w:pPr>
            <w:r w:rsidRPr="00FE5305">
              <w:rPr>
                <w:rFonts w:cs="Arial"/>
                <w:color w:val="000000"/>
                <w:szCs w:val="19"/>
                <w:lang w:val="en-US"/>
              </w:rPr>
              <w:t xml:space="preserve">Prevention of skeletal related events (pathological fracture, radiation to bone, spinal cord compression or surgery to bone) in adults with advanced malignancies involving bone, and treatment of adults and skeletally mature adolescents with giant cell </w:t>
            </w:r>
            <w:proofErr w:type="spellStart"/>
            <w:r w:rsidRPr="00FE5305">
              <w:rPr>
                <w:rFonts w:cs="Arial"/>
                <w:color w:val="000000"/>
                <w:szCs w:val="19"/>
                <w:lang w:val="en-US"/>
              </w:rPr>
              <w:t>tumour</w:t>
            </w:r>
            <w:proofErr w:type="spellEnd"/>
            <w:r w:rsidRPr="00FE5305">
              <w:rPr>
                <w:rFonts w:cs="Arial"/>
                <w:color w:val="000000"/>
                <w:szCs w:val="19"/>
                <w:lang w:val="en-US"/>
              </w:rPr>
              <w:t xml:space="preserve"> of bone that is unresectable or where surgical resection is likely to result in severe morbidity</w:t>
            </w:r>
            <w:r>
              <w:rPr>
                <w:rFonts w:cs="Arial"/>
                <w:color w:val="000000"/>
                <w:szCs w:val="19"/>
                <w:lang w:val="en-US"/>
              </w:rPr>
              <w:t xml:space="preserve"> </w:t>
            </w:r>
            <w:r w:rsidRPr="003260B8">
              <w:rPr>
                <w:rFonts w:cs="Arial"/>
                <w:color w:val="000000"/>
                <w:sz w:val="16"/>
                <w:szCs w:val="16"/>
                <w:lang w:val="en-US"/>
              </w:rPr>
              <w:t>[new prefilled syringe formulation]</w:t>
            </w:r>
          </w:p>
        </w:tc>
      </w:tr>
      <w:tr w:rsidR="004D7F18" w14:paraId="414C8C01" w14:textId="77777777" w:rsidTr="003D2915">
        <w:tc>
          <w:tcPr>
            <w:tcW w:w="1513" w:type="pct"/>
            <w:shd w:val="clear" w:color="auto" w:fill="auto"/>
            <w:tcMar>
              <w:top w:w="57" w:type="dxa"/>
              <w:left w:w="170" w:type="dxa"/>
              <w:bottom w:w="57" w:type="dxa"/>
              <w:right w:w="170" w:type="dxa"/>
            </w:tcMar>
          </w:tcPr>
          <w:p w14:paraId="6AC85C9D" w14:textId="77777777" w:rsidR="004D7F18" w:rsidRDefault="004D7F18" w:rsidP="004D7F18">
            <w:pPr>
              <w:rPr>
                <w:rFonts w:cs="Arial"/>
                <w:szCs w:val="19"/>
              </w:rPr>
            </w:pPr>
            <w:proofErr w:type="spellStart"/>
            <w:r w:rsidRPr="003825DA">
              <w:rPr>
                <w:rFonts w:cs="Arial"/>
                <w:szCs w:val="19"/>
              </w:rPr>
              <w:t>Pegcetacoplan</w:t>
            </w:r>
            <w:proofErr w:type="spellEnd"/>
            <w:r>
              <w:rPr>
                <w:rFonts w:cs="Arial"/>
                <w:szCs w:val="19"/>
              </w:rPr>
              <w:t xml:space="preserve"> (</w:t>
            </w:r>
            <w:proofErr w:type="spellStart"/>
            <w:r>
              <w:rPr>
                <w:rFonts w:cs="Arial"/>
                <w:i/>
                <w:iCs/>
                <w:szCs w:val="19"/>
              </w:rPr>
              <w:t>Aspaveli</w:t>
            </w:r>
            <w:proofErr w:type="spellEnd"/>
            <w:r>
              <w:rPr>
                <w:rFonts w:cs="Arial"/>
                <w:szCs w:val="19"/>
              </w:rPr>
              <w:t>)</w:t>
            </w:r>
          </w:p>
          <w:p w14:paraId="1BEB5510" w14:textId="2395E527" w:rsidR="004D7F18" w:rsidRPr="00CA0AC9" w:rsidRDefault="004D7F18" w:rsidP="004D7F18">
            <w:pPr>
              <w:rPr>
                <w:rFonts w:cs="Arial"/>
                <w:szCs w:val="19"/>
              </w:rPr>
            </w:pPr>
            <w:r w:rsidRPr="00CB2AEC">
              <w:rPr>
                <w:rFonts w:cs="Arial"/>
                <w:sz w:val="16"/>
                <w:szCs w:val="16"/>
              </w:rPr>
              <w:t>1,080mg in 20mL vial</w:t>
            </w:r>
          </w:p>
        </w:tc>
        <w:tc>
          <w:tcPr>
            <w:tcW w:w="3487" w:type="pct"/>
            <w:shd w:val="clear" w:color="auto" w:fill="auto"/>
            <w:tcMar>
              <w:top w:w="57" w:type="dxa"/>
              <w:left w:w="170" w:type="dxa"/>
              <w:bottom w:w="57" w:type="dxa"/>
              <w:right w:w="170" w:type="dxa"/>
            </w:tcMar>
          </w:tcPr>
          <w:p w14:paraId="4884D538" w14:textId="77777777" w:rsidR="004D7F18" w:rsidRDefault="004D7F18" w:rsidP="004D7F18">
            <w:pPr>
              <w:tabs>
                <w:tab w:val="center" w:pos="3152"/>
              </w:tabs>
              <w:rPr>
                <w:rFonts w:cs="Arial"/>
                <w:sz w:val="16"/>
                <w:szCs w:val="16"/>
                <w:lang w:val="en-US"/>
              </w:rPr>
            </w:pPr>
            <w:r>
              <w:rPr>
                <w:rFonts w:cs="Arial"/>
                <w:szCs w:val="19"/>
                <w:lang w:val="en-US"/>
              </w:rPr>
              <w:t xml:space="preserve">Use </w:t>
            </w:r>
            <w:r w:rsidRPr="003825DA">
              <w:rPr>
                <w:rFonts w:cs="Arial"/>
                <w:szCs w:val="19"/>
                <w:lang w:val="en-US"/>
              </w:rPr>
              <w:t xml:space="preserve">as monotherapy in the treatment of adults with paroxysmal nocturnal </w:t>
            </w:r>
            <w:proofErr w:type="spellStart"/>
            <w:r w:rsidRPr="003825DA">
              <w:rPr>
                <w:rFonts w:cs="Arial"/>
                <w:szCs w:val="19"/>
                <w:lang w:val="en-US"/>
              </w:rPr>
              <w:t>haemoglobinuria</w:t>
            </w:r>
            <w:proofErr w:type="spellEnd"/>
            <w:r w:rsidRPr="003825DA">
              <w:rPr>
                <w:rFonts w:cs="Arial"/>
                <w:szCs w:val="19"/>
                <w:lang w:val="en-US"/>
              </w:rPr>
              <w:t xml:space="preserve"> who have </w:t>
            </w:r>
            <w:proofErr w:type="spellStart"/>
            <w:r w:rsidRPr="003825DA">
              <w:rPr>
                <w:rFonts w:cs="Arial"/>
                <w:szCs w:val="19"/>
                <w:lang w:val="en-US"/>
              </w:rPr>
              <w:t>haemolytic</w:t>
            </w:r>
            <w:proofErr w:type="spellEnd"/>
            <w:r w:rsidRPr="003825DA">
              <w:rPr>
                <w:rFonts w:cs="Arial"/>
                <w:szCs w:val="19"/>
                <w:lang w:val="en-US"/>
              </w:rPr>
              <w:t xml:space="preserve"> </w:t>
            </w:r>
            <w:proofErr w:type="spellStart"/>
            <w:r w:rsidRPr="003825DA">
              <w:rPr>
                <w:rFonts w:cs="Arial"/>
                <w:szCs w:val="19"/>
                <w:lang w:val="en-US"/>
              </w:rPr>
              <w:t>anaemia</w:t>
            </w:r>
            <w:proofErr w:type="spellEnd"/>
          </w:p>
          <w:p w14:paraId="2E2AF6D8" w14:textId="2AF4AD32" w:rsidR="004D7F18" w:rsidRPr="00A075A3" w:rsidRDefault="004D7F18" w:rsidP="004D7F18">
            <w:pPr>
              <w:tabs>
                <w:tab w:val="center" w:pos="3152"/>
              </w:tabs>
              <w:rPr>
                <w:rFonts w:cs="Arial"/>
                <w:bCs/>
                <w:szCs w:val="19"/>
              </w:rPr>
            </w:pPr>
            <w:r w:rsidRPr="003825DA">
              <w:rPr>
                <w:rFonts w:cs="Arial"/>
                <w:sz w:val="16"/>
                <w:szCs w:val="16"/>
                <w:lang w:val="en-US"/>
              </w:rPr>
              <w:t>[licence change from use only after 3 months of treatment with a C5 inhibitor]</w:t>
            </w:r>
          </w:p>
        </w:tc>
      </w:tr>
      <w:tr w:rsidR="004D7F18" w14:paraId="03BB3F34" w14:textId="77777777" w:rsidTr="003D2915">
        <w:tc>
          <w:tcPr>
            <w:tcW w:w="1513" w:type="pct"/>
            <w:shd w:val="clear" w:color="auto" w:fill="auto"/>
            <w:tcMar>
              <w:top w:w="57" w:type="dxa"/>
              <w:left w:w="170" w:type="dxa"/>
              <w:bottom w:w="57" w:type="dxa"/>
              <w:right w:w="170" w:type="dxa"/>
            </w:tcMar>
          </w:tcPr>
          <w:p w14:paraId="07A52791" w14:textId="77777777" w:rsidR="004D7F18" w:rsidRDefault="004D7F18" w:rsidP="004D7F18">
            <w:pPr>
              <w:rPr>
                <w:rFonts w:cs="Arial"/>
                <w:szCs w:val="19"/>
              </w:rPr>
            </w:pPr>
            <w:r>
              <w:rPr>
                <w:rFonts w:cs="Arial"/>
                <w:szCs w:val="19"/>
              </w:rPr>
              <w:t>Pembrolizumab (</w:t>
            </w:r>
            <w:r>
              <w:rPr>
                <w:rFonts w:cs="Arial"/>
                <w:i/>
                <w:iCs/>
                <w:szCs w:val="19"/>
              </w:rPr>
              <w:t>Keytruda</w:t>
            </w:r>
            <w:r>
              <w:rPr>
                <w:rFonts w:cs="Arial"/>
                <w:szCs w:val="19"/>
              </w:rPr>
              <w:t xml:space="preserve">) </w:t>
            </w:r>
          </w:p>
          <w:p w14:paraId="30A3E828" w14:textId="65EB9554" w:rsidR="004D7F18" w:rsidRPr="00A075A3" w:rsidRDefault="004D7F18" w:rsidP="004D7F18">
            <w:pPr>
              <w:rPr>
                <w:rFonts w:cs="Arial"/>
                <w:szCs w:val="19"/>
              </w:rPr>
            </w:pPr>
            <w:r w:rsidRPr="00BD0029">
              <w:rPr>
                <w:rFonts w:cs="Arial"/>
                <w:sz w:val="16"/>
                <w:szCs w:val="16"/>
              </w:rPr>
              <w:t>100mg in 4mL vial</w:t>
            </w:r>
          </w:p>
        </w:tc>
        <w:tc>
          <w:tcPr>
            <w:tcW w:w="3487" w:type="pct"/>
            <w:shd w:val="clear" w:color="auto" w:fill="auto"/>
            <w:tcMar>
              <w:top w:w="57" w:type="dxa"/>
              <w:left w:w="170" w:type="dxa"/>
              <w:bottom w:w="57" w:type="dxa"/>
              <w:right w:w="170" w:type="dxa"/>
            </w:tcMar>
          </w:tcPr>
          <w:p w14:paraId="1B0E03FA" w14:textId="19CCA570" w:rsidR="004D7F18" w:rsidRPr="00A075A3" w:rsidRDefault="004D7F18" w:rsidP="004D7F18">
            <w:pPr>
              <w:tabs>
                <w:tab w:val="center" w:pos="3152"/>
              </w:tabs>
              <w:rPr>
                <w:rFonts w:cs="Arial"/>
                <w:szCs w:val="19"/>
                <w:lang w:val="en-US"/>
              </w:rPr>
            </w:pPr>
            <w:r>
              <w:rPr>
                <w:rFonts w:cs="Arial"/>
                <w:szCs w:val="19"/>
                <w:lang w:val="en-US"/>
              </w:rPr>
              <w:t xml:space="preserve">Use </w:t>
            </w:r>
            <w:r w:rsidRPr="001F45C7">
              <w:rPr>
                <w:rFonts w:cs="Arial"/>
                <w:szCs w:val="19"/>
                <w:lang w:val="en-US"/>
              </w:rPr>
              <w:t xml:space="preserve">in combination with platinum-containing chemotherapy as neoadjuvant treatment, and then continued as monotherapy as adjuvant treatment, for the treatment of </w:t>
            </w:r>
            <w:proofErr w:type="spellStart"/>
            <w:r w:rsidRPr="001F45C7">
              <w:rPr>
                <w:rFonts w:cs="Arial"/>
                <w:szCs w:val="19"/>
                <w:lang w:val="en-US"/>
              </w:rPr>
              <w:t>resectable</w:t>
            </w:r>
            <w:proofErr w:type="spellEnd"/>
            <w:r w:rsidRPr="001F45C7">
              <w:rPr>
                <w:rFonts w:cs="Arial"/>
                <w:szCs w:val="19"/>
                <w:lang w:val="en-US"/>
              </w:rPr>
              <w:t xml:space="preserve"> non</w:t>
            </w:r>
            <w:r w:rsidRPr="001F45C7">
              <w:rPr>
                <w:rFonts w:ascii="Cambria Math" w:hAnsi="Cambria Math" w:cs="Cambria Math"/>
                <w:szCs w:val="19"/>
                <w:lang w:val="en-US"/>
              </w:rPr>
              <w:t>‑</w:t>
            </w:r>
            <w:r w:rsidRPr="001F45C7">
              <w:rPr>
                <w:rFonts w:cs="Arial"/>
                <w:szCs w:val="19"/>
                <w:lang w:val="en-US"/>
              </w:rPr>
              <w:t>small cell lung carcinoma at high risk of recurrence in adults</w:t>
            </w:r>
            <w:r>
              <w:rPr>
                <w:rFonts w:cs="Arial"/>
                <w:szCs w:val="19"/>
                <w:lang w:val="en-US"/>
              </w:rPr>
              <w:t xml:space="preserve"> </w:t>
            </w:r>
            <w:r w:rsidRPr="001F45C7">
              <w:rPr>
                <w:rFonts w:cs="Arial"/>
                <w:sz w:val="16"/>
                <w:szCs w:val="16"/>
                <w:lang w:val="en-US"/>
              </w:rPr>
              <w:t>[new indication]</w:t>
            </w:r>
          </w:p>
        </w:tc>
      </w:tr>
      <w:tr w:rsidR="004D7F18" w:rsidRPr="00862949" w14:paraId="1823E6FD" w14:textId="77777777" w:rsidTr="002772ED">
        <w:tc>
          <w:tcPr>
            <w:tcW w:w="5000" w:type="pct"/>
            <w:gridSpan w:val="2"/>
            <w:shd w:val="clear" w:color="auto" w:fill="auto"/>
            <w:tcMar>
              <w:top w:w="0" w:type="dxa"/>
              <w:bottom w:w="0" w:type="dxa"/>
            </w:tcMar>
          </w:tcPr>
          <w:p w14:paraId="3962A36A" w14:textId="77777777" w:rsidR="004D7F18" w:rsidRPr="00862949" w:rsidRDefault="004D7F18" w:rsidP="004D7F18">
            <w:pPr>
              <w:rPr>
                <w:rFonts w:cs="Arial"/>
                <w:b/>
                <w:noProof/>
                <w:sz w:val="8"/>
                <w:szCs w:val="8"/>
              </w:rPr>
            </w:pPr>
          </w:p>
        </w:tc>
      </w:tr>
      <w:tr w:rsidR="004D7F18" w:rsidRPr="00862949" w14:paraId="0DBC12CC" w14:textId="77777777" w:rsidTr="002772ED">
        <w:tc>
          <w:tcPr>
            <w:tcW w:w="5000" w:type="pct"/>
            <w:gridSpan w:val="2"/>
            <w:shd w:val="clear" w:color="auto" w:fill="DAEEF3"/>
            <w:tcMar>
              <w:top w:w="0" w:type="dxa"/>
              <w:bottom w:w="0" w:type="dxa"/>
            </w:tcMar>
          </w:tcPr>
          <w:p w14:paraId="34612458" w14:textId="77777777" w:rsidR="004D7F18" w:rsidRPr="00862949" w:rsidRDefault="004D7F18" w:rsidP="004D7F18">
            <w:pPr>
              <w:rPr>
                <w:rFonts w:cs="Arial"/>
                <w:b/>
                <w:i/>
                <w:noProof/>
                <w:sz w:val="8"/>
                <w:szCs w:val="8"/>
              </w:rPr>
            </w:pPr>
          </w:p>
        </w:tc>
      </w:tr>
    </w:tbl>
    <w:p w14:paraId="0329D2E3" w14:textId="77777777" w:rsidR="00797F59" w:rsidRDefault="00797F59" w:rsidP="00727945">
      <w:pPr>
        <w:rPr>
          <w:rFonts w:ascii="Latha" w:hAnsi="Latha" w:cs="Latha"/>
          <w:sz w:val="8"/>
          <w:szCs w:val="8"/>
        </w:rPr>
      </w:pPr>
    </w:p>
    <w:p w14:paraId="768BF978" w14:textId="77777777" w:rsidR="0022269C" w:rsidRDefault="0022269C" w:rsidP="00727945">
      <w:pPr>
        <w:rPr>
          <w:rFonts w:ascii="Latha" w:hAnsi="Latha" w:cs="Latha"/>
          <w:sz w:val="8"/>
          <w:szCs w:val="8"/>
        </w:rPr>
      </w:pPr>
    </w:p>
    <w:p w14:paraId="255309E8" w14:textId="77777777" w:rsidR="004D7F18" w:rsidRDefault="004D7F18" w:rsidP="00727945">
      <w:pPr>
        <w:rPr>
          <w:rFonts w:ascii="Latha" w:hAnsi="Latha" w:cs="Latha"/>
          <w:sz w:val="8"/>
          <w:szCs w:val="8"/>
        </w:rPr>
      </w:pPr>
    </w:p>
    <w:p w14:paraId="5B815DC8" w14:textId="77777777" w:rsidR="004D7F18" w:rsidRDefault="004D7F18" w:rsidP="00727945">
      <w:pPr>
        <w:rPr>
          <w:rFonts w:ascii="Latha" w:hAnsi="Latha" w:cs="Latha"/>
          <w:sz w:val="8"/>
          <w:szCs w:val="8"/>
        </w:rPr>
      </w:pPr>
    </w:p>
    <w:p w14:paraId="164DF82F" w14:textId="77777777" w:rsidR="004D7F18" w:rsidRDefault="004D7F18" w:rsidP="00727945">
      <w:pPr>
        <w:rPr>
          <w:rFonts w:ascii="Latha" w:hAnsi="Latha" w:cs="Latha"/>
          <w:sz w:val="8"/>
          <w:szCs w:val="8"/>
        </w:rPr>
      </w:pPr>
    </w:p>
    <w:p w14:paraId="72EE7AD6" w14:textId="77777777" w:rsidR="0022269C" w:rsidRDefault="0022269C" w:rsidP="00727945">
      <w:pPr>
        <w:rPr>
          <w:rFonts w:ascii="Latha" w:hAnsi="Latha" w:cs="Latha"/>
          <w:sz w:val="8"/>
          <w:szCs w:val="8"/>
        </w:rPr>
      </w:pPr>
    </w:p>
    <w:tbl>
      <w:tblPr>
        <w:tblW w:w="5170" w:type="pct"/>
        <w:tblInd w:w="-176" w:type="dxa"/>
        <w:tblLayout w:type="fixed"/>
        <w:tblLook w:val="01E0" w:firstRow="1" w:lastRow="1" w:firstColumn="1" w:lastColumn="1" w:noHBand="0" w:noVBand="0"/>
      </w:tblPr>
      <w:tblGrid>
        <w:gridCol w:w="2431"/>
        <w:gridCol w:w="439"/>
        <w:gridCol w:w="7681"/>
      </w:tblGrid>
      <w:tr w:rsidR="004D7F18" w:rsidRPr="00862949" w14:paraId="6627556E" w14:textId="77777777" w:rsidTr="005652A6">
        <w:tc>
          <w:tcPr>
            <w:tcW w:w="5000" w:type="pct"/>
            <w:gridSpan w:val="3"/>
            <w:shd w:val="clear" w:color="auto" w:fill="0070C0"/>
            <w:tcMar>
              <w:top w:w="85" w:type="dxa"/>
              <w:bottom w:w="85" w:type="dxa"/>
            </w:tcMar>
            <w:vAlign w:val="bottom"/>
          </w:tcPr>
          <w:p w14:paraId="165C1892" w14:textId="77777777" w:rsidR="004D7F18" w:rsidRPr="00862949" w:rsidRDefault="004D7F18" w:rsidP="005652A6">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4D7F18" w:rsidRPr="00862949" w14:paraId="7B644D80" w14:textId="77777777" w:rsidTr="005652A6">
        <w:tc>
          <w:tcPr>
            <w:tcW w:w="5000" w:type="pct"/>
            <w:gridSpan w:val="3"/>
            <w:shd w:val="clear" w:color="auto" w:fill="DAEEF3"/>
            <w:tcMar>
              <w:top w:w="0" w:type="dxa"/>
              <w:bottom w:w="0" w:type="dxa"/>
            </w:tcMar>
          </w:tcPr>
          <w:p w14:paraId="0E05463D" w14:textId="77777777" w:rsidR="004D7F18" w:rsidRPr="00862949" w:rsidRDefault="004D7F18" w:rsidP="005652A6">
            <w:pPr>
              <w:rPr>
                <w:rFonts w:cs="Arial"/>
                <w:b/>
                <w:bCs/>
                <w:i/>
                <w:iCs/>
                <w:color w:val="000000"/>
                <w:sz w:val="8"/>
                <w:szCs w:val="8"/>
                <w:lang w:val="en-US"/>
              </w:rPr>
            </w:pPr>
          </w:p>
        </w:tc>
      </w:tr>
      <w:tr w:rsidR="004D7F18" w:rsidRPr="00862949" w14:paraId="1D76FF74" w14:textId="77777777" w:rsidTr="005652A6">
        <w:tc>
          <w:tcPr>
            <w:tcW w:w="5000" w:type="pct"/>
            <w:gridSpan w:val="3"/>
            <w:shd w:val="clear" w:color="auto" w:fill="00B050"/>
            <w:tcMar>
              <w:top w:w="57" w:type="dxa"/>
              <w:bottom w:w="57" w:type="dxa"/>
            </w:tcMar>
          </w:tcPr>
          <w:p w14:paraId="51FE224F" w14:textId="77777777" w:rsidR="004D7F18" w:rsidRPr="00433D3E" w:rsidRDefault="004D7F18" w:rsidP="005652A6">
            <w:pPr>
              <w:rPr>
                <w:rFonts w:cs="Arial"/>
                <w:color w:val="FFFFFF"/>
                <w:sz w:val="20"/>
                <w:szCs w:val="20"/>
              </w:rPr>
            </w:pPr>
            <w:r w:rsidRPr="00433D3E">
              <w:rPr>
                <w:rFonts w:cs="Arial"/>
                <w:b/>
                <w:bCs/>
                <w:i/>
                <w:iCs/>
                <w:color w:val="FFFFFF"/>
                <w:sz w:val="22"/>
                <w:szCs w:val="20"/>
                <w:lang w:val="en-US"/>
              </w:rPr>
              <w:t xml:space="preserve">Approved in the </w:t>
            </w:r>
            <w:r>
              <w:rPr>
                <w:rFonts w:cs="Arial"/>
                <w:b/>
                <w:bCs/>
                <w:i/>
                <w:iCs/>
                <w:color w:val="FFFFFF"/>
                <w:sz w:val="22"/>
                <w:szCs w:val="20"/>
                <w:lang w:val="en-US"/>
              </w:rPr>
              <w:t>UK</w:t>
            </w:r>
          </w:p>
        </w:tc>
      </w:tr>
      <w:tr w:rsidR="004D7F18" w14:paraId="4507CC9F" w14:textId="77777777" w:rsidTr="005652A6">
        <w:tc>
          <w:tcPr>
            <w:tcW w:w="1360" w:type="pct"/>
            <w:gridSpan w:val="2"/>
            <w:shd w:val="clear" w:color="auto" w:fill="auto"/>
            <w:tcMar>
              <w:top w:w="57" w:type="dxa"/>
              <w:bottom w:w="57" w:type="dxa"/>
            </w:tcMar>
          </w:tcPr>
          <w:p w14:paraId="7932B4F1" w14:textId="77777777" w:rsidR="004D7F18" w:rsidRDefault="004D7F18" w:rsidP="005652A6">
            <w:pPr>
              <w:rPr>
                <w:rFonts w:cs="Arial"/>
                <w:szCs w:val="19"/>
              </w:rPr>
            </w:pPr>
            <w:r>
              <w:rPr>
                <w:rFonts w:cs="Arial"/>
                <w:szCs w:val="19"/>
              </w:rPr>
              <w:t>Aripiprazole (</w:t>
            </w:r>
            <w:r w:rsidRPr="00552108">
              <w:rPr>
                <w:rFonts w:cs="Arial"/>
                <w:i/>
                <w:iCs/>
                <w:szCs w:val="19"/>
              </w:rPr>
              <w:t xml:space="preserve">Abilify </w:t>
            </w:r>
            <w:proofErr w:type="spellStart"/>
            <w:r w:rsidRPr="00552108">
              <w:rPr>
                <w:rFonts w:cs="Arial"/>
                <w:i/>
                <w:iCs/>
                <w:szCs w:val="19"/>
              </w:rPr>
              <w:t>Maintena</w:t>
            </w:r>
            <w:proofErr w:type="spellEnd"/>
            <w:r>
              <w:rPr>
                <w:rFonts w:cs="Arial"/>
                <w:szCs w:val="19"/>
              </w:rPr>
              <w:t>)</w:t>
            </w:r>
            <w:r w:rsidRPr="00552108">
              <w:rPr>
                <w:rFonts w:cs="Arial"/>
                <w:szCs w:val="19"/>
              </w:rPr>
              <w:t xml:space="preserve"> </w:t>
            </w:r>
          </w:p>
          <w:p w14:paraId="29547D69" w14:textId="77777777" w:rsidR="004D7F18" w:rsidRPr="00247547" w:rsidRDefault="004D7F18" w:rsidP="005652A6">
            <w:pPr>
              <w:rPr>
                <w:rFonts w:cs="Arial"/>
                <w:szCs w:val="19"/>
              </w:rPr>
            </w:pPr>
            <w:r w:rsidRPr="00552108">
              <w:rPr>
                <w:rFonts w:cs="Arial"/>
                <w:sz w:val="16"/>
                <w:szCs w:val="16"/>
              </w:rPr>
              <w:t xml:space="preserve">960mg in 3.2mL </w:t>
            </w:r>
            <w:r>
              <w:rPr>
                <w:rFonts w:cs="Arial"/>
                <w:sz w:val="16"/>
                <w:szCs w:val="16"/>
              </w:rPr>
              <w:t xml:space="preserve">and 720mg in 2.4mL </w:t>
            </w:r>
            <w:r w:rsidRPr="00552108">
              <w:rPr>
                <w:rFonts w:cs="Arial"/>
                <w:sz w:val="16"/>
                <w:szCs w:val="16"/>
              </w:rPr>
              <w:t>prefilled syringe</w:t>
            </w:r>
            <w:r>
              <w:rPr>
                <w:rFonts w:cs="Arial"/>
                <w:sz w:val="16"/>
                <w:szCs w:val="16"/>
              </w:rPr>
              <w:t>s</w:t>
            </w:r>
          </w:p>
        </w:tc>
        <w:tc>
          <w:tcPr>
            <w:tcW w:w="3640" w:type="pct"/>
            <w:shd w:val="clear" w:color="auto" w:fill="auto"/>
            <w:tcMar>
              <w:top w:w="57" w:type="dxa"/>
              <w:bottom w:w="57" w:type="dxa"/>
            </w:tcMar>
          </w:tcPr>
          <w:p w14:paraId="1051DEA2" w14:textId="77777777" w:rsidR="00F87BD9" w:rsidRDefault="004D7F18" w:rsidP="005652A6">
            <w:pPr>
              <w:tabs>
                <w:tab w:val="center" w:pos="3152"/>
              </w:tabs>
              <w:rPr>
                <w:rFonts w:cs="Arial"/>
                <w:szCs w:val="19"/>
                <w:lang w:val="en-US"/>
              </w:rPr>
            </w:pPr>
            <w:r w:rsidRPr="00552108">
              <w:rPr>
                <w:rFonts w:cs="Arial"/>
                <w:szCs w:val="19"/>
                <w:lang w:val="en-US"/>
              </w:rPr>
              <w:t xml:space="preserve">Maintenance treatment of schizophrenia in adult patients </w:t>
            </w:r>
            <w:proofErr w:type="spellStart"/>
            <w:r w:rsidRPr="00552108">
              <w:rPr>
                <w:rFonts w:cs="Arial"/>
                <w:szCs w:val="19"/>
                <w:lang w:val="en-US"/>
              </w:rPr>
              <w:t>stabilised</w:t>
            </w:r>
            <w:proofErr w:type="spellEnd"/>
            <w:r w:rsidRPr="00552108">
              <w:rPr>
                <w:rFonts w:cs="Arial"/>
                <w:szCs w:val="19"/>
                <w:lang w:val="en-US"/>
              </w:rPr>
              <w:t xml:space="preserve"> with aripiprazole</w:t>
            </w:r>
            <w:r w:rsidR="00F87BD9">
              <w:rPr>
                <w:rFonts w:cs="Arial"/>
                <w:szCs w:val="19"/>
                <w:lang w:val="en-US"/>
              </w:rPr>
              <w:t xml:space="preserve"> </w:t>
            </w:r>
          </w:p>
          <w:p w14:paraId="295BE25D" w14:textId="23A1C6BC" w:rsidR="004D7F18" w:rsidRPr="002B10C1" w:rsidRDefault="00F87BD9" w:rsidP="005652A6">
            <w:pPr>
              <w:tabs>
                <w:tab w:val="center" w:pos="3152"/>
              </w:tabs>
              <w:rPr>
                <w:rFonts w:cs="Arial"/>
                <w:szCs w:val="19"/>
                <w:lang w:val="en-US"/>
              </w:rPr>
            </w:pPr>
            <w:r w:rsidRPr="00F87BD9">
              <w:rPr>
                <w:rFonts w:cs="Arial"/>
                <w:sz w:val="16"/>
                <w:szCs w:val="16"/>
                <w:lang w:val="en-US"/>
              </w:rPr>
              <w:t>[new 2-monthly intramuscular formulation]</w:t>
            </w:r>
          </w:p>
        </w:tc>
      </w:tr>
      <w:tr w:rsidR="004D7F18" w14:paraId="79783E0A" w14:textId="77777777" w:rsidTr="005652A6">
        <w:tc>
          <w:tcPr>
            <w:tcW w:w="1360" w:type="pct"/>
            <w:gridSpan w:val="2"/>
            <w:shd w:val="clear" w:color="auto" w:fill="auto"/>
            <w:tcMar>
              <w:top w:w="57" w:type="dxa"/>
              <w:bottom w:w="57" w:type="dxa"/>
            </w:tcMar>
          </w:tcPr>
          <w:p w14:paraId="5741CA80" w14:textId="77777777" w:rsidR="004D7F18" w:rsidRDefault="004D7F18" w:rsidP="005652A6">
            <w:pPr>
              <w:rPr>
                <w:rFonts w:cs="Arial"/>
                <w:szCs w:val="19"/>
              </w:rPr>
            </w:pPr>
            <w:r w:rsidRPr="00231EBC">
              <w:rPr>
                <w:rFonts w:cs="Arial"/>
                <w:szCs w:val="19"/>
              </w:rPr>
              <w:t>Cabotegravir</w:t>
            </w:r>
            <w:r>
              <w:rPr>
                <w:rFonts w:cs="Arial"/>
                <w:szCs w:val="19"/>
              </w:rPr>
              <w:t xml:space="preserve"> (</w:t>
            </w:r>
            <w:proofErr w:type="spellStart"/>
            <w:r>
              <w:rPr>
                <w:rFonts w:cs="Arial"/>
                <w:i/>
                <w:iCs/>
                <w:szCs w:val="19"/>
              </w:rPr>
              <w:t>Apretude</w:t>
            </w:r>
            <w:proofErr w:type="spellEnd"/>
            <w:r>
              <w:rPr>
                <w:rFonts w:cs="Arial"/>
                <w:szCs w:val="19"/>
              </w:rPr>
              <w:t>)</w:t>
            </w:r>
          </w:p>
          <w:p w14:paraId="12026912" w14:textId="77777777" w:rsidR="004D7F18" w:rsidRPr="002B10C1" w:rsidRDefault="004D7F18" w:rsidP="005652A6">
            <w:pPr>
              <w:rPr>
                <w:rFonts w:cs="Arial"/>
                <w:szCs w:val="19"/>
              </w:rPr>
            </w:pPr>
            <w:r w:rsidRPr="00D92B04">
              <w:rPr>
                <w:rFonts w:cs="Arial"/>
                <w:sz w:val="16"/>
                <w:szCs w:val="16"/>
              </w:rPr>
              <w:t>30mg tablet</w:t>
            </w:r>
            <w:r>
              <w:rPr>
                <w:rFonts w:cs="Arial"/>
                <w:sz w:val="16"/>
                <w:szCs w:val="16"/>
              </w:rPr>
              <w:t xml:space="preserve"> and 600mg in 3mL vial</w:t>
            </w:r>
          </w:p>
        </w:tc>
        <w:tc>
          <w:tcPr>
            <w:tcW w:w="3640" w:type="pct"/>
            <w:shd w:val="clear" w:color="auto" w:fill="auto"/>
            <w:tcMar>
              <w:top w:w="57" w:type="dxa"/>
              <w:bottom w:w="57" w:type="dxa"/>
            </w:tcMar>
          </w:tcPr>
          <w:p w14:paraId="01857F7B" w14:textId="77777777" w:rsidR="004D7F18" w:rsidRDefault="004D7F18" w:rsidP="005652A6">
            <w:pPr>
              <w:tabs>
                <w:tab w:val="center" w:pos="3152"/>
              </w:tabs>
              <w:rPr>
                <w:rFonts w:cs="Arial"/>
                <w:sz w:val="18"/>
                <w:szCs w:val="18"/>
                <w:lang w:val="en-US"/>
              </w:rPr>
            </w:pPr>
            <w:r>
              <w:rPr>
                <w:rFonts w:cs="Arial"/>
                <w:szCs w:val="19"/>
                <w:lang w:val="en-US"/>
              </w:rPr>
              <w:t xml:space="preserve">Use in </w:t>
            </w:r>
            <w:r w:rsidRPr="00231EBC">
              <w:rPr>
                <w:rFonts w:cs="Arial"/>
                <w:szCs w:val="19"/>
                <w:lang w:val="en-US"/>
              </w:rPr>
              <w:t xml:space="preserve">combination with safer sex practices for pre-exposure prophylaxis to reduce the risk of sexually acquired HIV-1 infection in high-risk adults and adolescents, weighing </w:t>
            </w:r>
            <w:r>
              <w:rPr>
                <w:rFonts w:cs="Arial"/>
                <w:szCs w:val="19"/>
                <w:lang w:val="en-US"/>
              </w:rPr>
              <w:t>≥</w:t>
            </w:r>
            <w:r w:rsidRPr="00231EBC">
              <w:rPr>
                <w:rFonts w:cs="Arial"/>
                <w:szCs w:val="19"/>
                <w:lang w:val="en-US"/>
              </w:rPr>
              <w:t>35kg</w:t>
            </w:r>
            <w:r>
              <w:rPr>
                <w:rFonts w:cs="Arial"/>
                <w:szCs w:val="19"/>
                <w:lang w:val="en-US"/>
              </w:rPr>
              <w:t xml:space="preserve"> </w:t>
            </w:r>
            <w:r w:rsidRPr="00231EBC">
              <w:rPr>
                <w:rFonts w:cs="Arial"/>
                <w:sz w:val="16"/>
                <w:szCs w:val="16"/>
                <w:lang w:val="en-US"/>
              </w:rPr>
              <w:t>[new injection and tablet formulations with new indication]</w:t>
            </w:r>
          </w:p>
        </w:tc>
      </w:tr>
      <w:tr w:rsidR="004D7F18" w:rsidRPr="00862949" w14:paraId="229CC883" w14:textId="77777777" w:rsidTr="005652A6">
        <w:tc>
          <w:tcPr>
            <w:tcW w:w="5000" w:type="pct"/>
            <w:gridSpan w:val="3"/>
            <w:shd w:val="clear" w:color="auto" w:fill="auto"/>
            <w:tcMar>
              <w:top w:w="0" w:type="dxa"/>
              <w:bottom w:w="0" w:type="dxa"/>
            </w:tcMar>
          </w:tcPr>
          <w:p w14:paraId="127160D7" w14:textId="77777777" w:rsidR="004D7F18" w:rsidRPr="00862949" w:rsidRDefault="004D7F18" w:rsidP="005652A6">
            <w:pPr>
              <w:jc w:val="center"/>
              <w:rPr>
                <w:rFonts w:cs="Arial"/>
                <w:noProof/>
                <w:sz w:val="8"/>
                <w:szCs w:val="8"/>
              </w:rPr>
            </w:pPr>
          </w:p>
        </w:tc>
      </w:tr>
      <w:tr w:rsidR="004D7F18" w:rsidRPr="000F19E1" w14:paraId="42DFC532" w14:textId="77777777" w:rsidTr="005652A6">
        <w:tc>
          <w:tcPr>
            <w:tcW w:w="1152" w:type="pct"/>
            <w:shd w:val="clear" w:color="auto" w:fill="DAEEF3"/>
            <w:tcMar>
              <w:top w:w="0" w:type="dxa"/>
              <w:bottom w:w="0" w:type="dxa"/>
            </w:tcMar>
          </w:tcPr>
          <w:p w14:paraId="73C50A1A" w14:textId="77777777" w:rsidR="004D7F18" w:rsidRPr="000F19E1" w:rsidRDefault="004D7F18" w:rsidP="005652A6">
            <w:pPr>
              <w:rPr>
                <w:rFonts w:cs="Arial"/>
                <w:bCs/>
                <w:sz w:val="8"/>
                <w:szCs w:val="8"/>
              </w:rPr>
            </w:pPr>
          </w:p>
        </w:tc>
        <w:tc>
          <w:tcPr>
            <w:tcW w:w="3848" w:type="pct"/>
            <w:gridSpan w:val="2"/>
            <w:shd w:val="clear" w:color="auto" w:fill="DAEEF3"/>
            <w:tcMar>
              <w:top w:w="0" w:type="dxa"/>
              <w:bottom w:w="0" w:type="dxa"/>
            </w:tcMar>
          </w:tcPr>
          <w:p w14:paraId="69217058" w14:textId="77777777" w:rsidR="004D7F18" w:rsidRPr="000F19E1" w:rsidRDefault="004D7F18" w:rsidP="005652A6">
            <w:pPr>
              <w:tabs>
                <w:tab w:val="center" w:pos="3152"/>
              </w:tabs>
              <w:rPr>
                <w:rFonts w:cs="Arial"/>
                <w:sz w:val="8"/>
                <w:szCs w:val="8"/>
                <w:lang w:val="en-US"/>
              </w:rPr>
            </w:pPr>
          </w:p>
        </w:tc>
      </w:tr>
    </w:tbl>
    <w:p w14:paraId="7CD39EC3" w14:textId="77777777" w:rsidR="001A42CE" w:rsidRPr="00727945" w:rsidRDefault="001A42CE" w:rsidP="00727945">
      <w:pPr>
        <w:rPr>
          <w:rFonts w:ascii="Latha" w:hAnsi="Latha" w:cs="Latha"/>
          <w:sz w:val="8"/>
          <w:szCs w:val="8"/>
        </w:rPr>
        <w:sectPr w:rsidR="001A42CE" w:rsidRPr="00727945" w:rsidSect="002772ED">
          <w:headerReference w:type="even" r:id="rId10"/>
          <w:headerReference w:type="default" r:id="rId11"/>
          <w:footerReference w:type="even" r:id="rId12"/>
          <w:footerReference w:type="default" r:id="rId13"/>
          <w:headerReference w:type="first" r:id="rId14"/>
          <w:pgSz w:w="11906" w:h="16838" w:code="9"/>
          <w:pgMar w:top="680" w:right="851" w:bottom="680" w:left="851" w:header="567" w:footer="227" w:gutter="0"/>
          <w:cols w:space="708"/>
          <w:docGrid w:linePitch="360"/>
        </w:sectPr>
      </w:pPr>
    </w:p>
    <w:p w14:paraId="5D7EA70F" w14:textId="77777777" w:rsidR="006825BB" w:rsidRDefault="006825BB">
      <w:pPr>
        <w:rPr>
          <w:sz w:val="8"/>
          <w:szCs w:val="16"/>
        </w:rPr>
      </w:pPr>
    </w:p>
    <w:p w14:paraId="6D6A484A" w14:textId="77777777" w:rsidR="00A81694" w:rsidRDefault="00EB3E6F" w:rsidP="00EB3E6F">
      <w:pPr>
        <w:tabs>
          <w:tab w:val="left" w:pos="2087"/>
        </w:tabs>
      </w:pPr>
      <w:r>
        <w:tab/>
      </w:r>
    </w:p>
    <w:tbl>
      <w:tblPr>
        <w:tblW w:w="5170" w:type="pct"/>
        <w:tblInd w:w="-176" w:type="dxa"/>
        <w:tblLayout w:type="fixed"/>
        <w:tblLook w:val="01E0" w:firstRow="1" w:lastRow="1" w:firstColumn="1" w:lastColumn="1" w:noHBand="0" w:noVBand="0"/>
      </w:tblPr>
      <w:tblGrid>
        <w:gridCol w:w="2431"/>
        <w:gridCol w:w="439"/>
        <w:gridCol w:w="7681"/>
      </w:tblGrid>
      <w:tr w:rsidR="005A7E09" w:rsidRPr="00862949" w14:paraId="1CDAEBEB" w14:textId="77777777" w:rsidTr="005A7E09">
        <w:tc>
          <w:tcPr>
            <w:tcW w:w="5000" w:type="pct"/>
            <w:gridSpan w:val="3"/>
            <w:shd w:val="clear" w:color="auto" w:fill="0070C0"/>
            <w:tcMar>
              <w:top w:w="85" w:type="dxa"/>
              <w:bottom w:w="85" w:type="dxa"/>
            </w:tcMar>
            <w:vAlign w:val="bottom"/>
          </w:tcPr>
          <w:p w14:paraId="21643892" w14:textId="77777777" w:rsidR="005A7E09" w:rsidRPr="00862949" w:rsidRDefault="005A7E09" w:rsidP="005A7E09">
            <w:pPr>
              <w:rPr>
                <w:rFonts w:cs="Arial"/>
                <w:color w:val="FFFFFF"/>
                <w:sz w:val="15"/>
                <w:szCs w:val="15"/>
              </w:rPr>
            </w:pPr>
            <w:r w:rsidRPr="00862949">
              <w:rPr>
                <w:rFonts w:cs="Arial"/>
                <w:b/>
                <w:bCs/>
                <w:iCs/>
                <w:color w:val="FFFFFF"/>
                <w:sz w:val="28"/>
                <w:szCs w:val="28"/>
                <w:lang w:val="en-US"/>
              </w:rPr>
              <w:t xml:space="preserve">Regulatory changes in the </w:t>
            </w:r>
            <w:r w:rsidR="00AA1F49">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5A7E09" w:rsidRPr="00862949" w14:paraId="369E6564" w14:textId="77777777" w:rsidTr="005A7E09">
        <w:tc>
          <w:tcPr>
            <w:tcW w:w="5000" w:type="pct"/>
            <w:gridSpan w:val="3"/>
            <w:shd w:val="clear" w:color="auto" w:fill="DAEEF3"/>
            <w:tcMar>
              <w:top w:w="0" w:type="dxa"/>
              <w:bottom w:w="0" w:type="dxa"/>
            </w:tcMar>
          </w:tcPr>
          <w:p w14:paraId="159956AA" w14:textId="77777777" w:rsidR="005A7E09" w:rsidRPr="00862949" w:rsidRDefault="005A7E09" w:rsidP="005A7E09">
            <w:pPr>
              <w:rPr>
                <w:rFonts w:cs="Arial"/>
                <w:b/>
                <w:bCs/>
                <w:i/>
                <w:iCs/>
                <w:color w:val="000000"/>
                <w:sz w:val="8"/>
                <w:szCs w:val="8"/>
                <w:lang w:val="en-US"/>
              </w:rPr>
            </w:pPr>
          </w:p>
        </w:tc>
      </w:tr>
      <w:tr w:rsidR="005A7E09" w:rsidRPr="00862949" w14:paraId="41B1C783" w14:textId="77777777" w:rsidTr="005A7E09">
        <w:tc>
          <w:tcPr>
            <w:tcW w:w="5000" w:type="pct"/>
            <w:gridSpan w:val="3"/>
            <w:shd w:val="clear" w:color="auto" w:fill="00B050"/>
            <w:tcMar>
              <w:top w:w="57" w:type="dxa"/>
              <w:bottom w:w="57" w:type="dxa"/>
            </w:tcMar>
          </w:tcPr>
          <w:p w14:paraId="75A4788E" w14:textId="77777777" w:rsidR="005A7E09" w:rsidRPr="00433D3E" w:rsidRDefault="005A7E09" w:rsidP="00EB3E6F">
            <w:pPr>
              <w:rPr>
                <w:rFonts w:cs="Arial"/>
                <w:color w:val="FFFFFF"/>
                <w:sz w:val="20"/>
                <w:szCs w:val="20"/>
              </w:rPr>
            </w:pPr>
            <w:r w:rsidRPr="00433D3E">
              <w:rPr>
                <w:rFonts w:cs="Arial"/>
                <w:b/>
                <w:bCs/>
                <w:i/>
                <w:iCs/>
                <w:color w:val="FFFFFF"/>
                <w:sz w:val="22"/>
                <w:szCs w:val="20"/>
                <w:lang w:val="en-US"/>
              </w:rPr>
              <w:t xml:space="preserve">Approved in the </w:t>
            </w:r>
            <w:r w:rsidR="0048777D">
              <w:rPr>
                <w:rFonts w:cs="Arial"/>
                <w:b/>
                <w:bCs/>
                <w:i/>
                <w:iCs/>
                <w:color w:val="FFFFFF"/>
                <w:sz w:val="22"/>
                <w:szCs w:val="20"/>
                <w:lang w:val="en-US"/>
              </w:rPr>
              <w:t>UK</w:t>
            </w:r>
          </w:p>
        </w:tc>
      </w:tr>
      <w:tr w:rsidR="00BC7F1F" w14:paraId="67387A08" w14:textId="77777777" w:rsidTr="00552108">
        <w:tc>
          <w:tcPr>
            <w:tcW w:w="1360" w:type="pct"/>
            <w:gridSpan w:val="2"/>
            <w:shd w:val="clear" w:color="auto" w:fill="auto"/>
            <w:tcMar>
              <w:top w:w="57" w:type="dxa"/>
              <w:bottom w:w="57" w:type="dxa"/>
            </w:tcMar>
          </w:tcPr>
          <w:p w14:paraId="4F3602F7" w14:textId="77777777" w:rsidR="00BC7F1F" w:rsidRDefault="00BC7F1F" w:rsidP="00BC7F1F">
            <w:pPr>
              <w:rPr>
                <w:rFonts w:cs="Arial"/>
                <w:szCs w:val="19"/>
              </w:rPr>
            </w:pPr>
            <w:proofErr w:type="spellStart"/>
            <w:r w:rsidRPr="009C27A3">
              <w:rPr>
                <w:rFonts w:cs="Arial"/>
                <w:szCs w:val="19"/>
              </w:rPr>
              <w:t>Ciltacabtagene</w:t>
            </w:r>
            <w:proofErr w:type="spellEnd"/>
            <w:r w:rsidRPr="009C27A3">
              <w:rPr>
                <w:rFonts w:cs="Arial"/>
                <w:szCs w:val="19"/>
              </w:rPr>
              <w:t xml:space="preserve"> </w:t>
            </w:r>
            <w:proofErr w:type="spellStart"/>
            <w:r w:rsidRPr="009C27A3">
              <w:rPr>
                <w:rFonts w:cs="Arial"/>
                <w:szCs w:val="19"/>
              </w:rPr>
              <w:t>autoleucel</w:t>
            </w:r>
            <w:proofErr w:type="spellEnd"/>
            <w:r w:rsidRPr="009C27A3">
              <w:rPr>
                <w:rFonts w:cs="Arial"/>
                <w:szCs w:val="19"/>
              </w:rPr>
              <w:t xml:space="preserve"> </w:t>
            </w:r>
            <w:r>
              <w:rPr>
                <w:rFonts w:cs="Arial"/>
                <w:szCs w:val="19"/>
              </w:rPr>
              <w:t>(</w:t>
            </w:r>
            <w:proofErr w:type="spellStart"/>
            <w:r>
              <w:rPr>
                <w:rFonts w:cs="Arial"/>
                <w:i/>
                <w:iCs/>
                <w:szCs w:val="19"/>
              </w:rPr>
              <w:t>Carvykti</w:t>
            </w:r>
            <w:proofErr w:type="spellEnd"/>
            <w:r>
              <w:rPr>
                <w:rFonts w:cs="Arial"/>
                <w:szCs w:val="19"/>
              </w:rPr>
              <w:t xml:space="preserve">) </w:t>
            </w:r>
          </w:p>
          <w:p w14:paraId="3931C383" w14:textId="0F8728D4" w:rsidR="00BC7F1F" w:rsidRDefault="00BC7F1F" w:rsidP="00BC7F1F">
            <w:pPr>
              <w:rPr>
                <w:rFonts w:cs="Arial"/>
                <w:szCs w:val="19"/>
              </w:rPr>
            </w:pPr>
            <w:r w:rsidRPr="00B55E2D">
              <w:rPr>
                <w:rFonts w:cs="Arial"/>
                <w:sz w:val="16"/>
                <w:szCs w:val="16"/>
              </w:rPr>
              <w:t>3.2x10</w:t>
            </w:r>
            <w:r w:rsidRPr="00B55E2D">
              <w:rPr>
                <w:rFonts w:cs="Arial"/>
                <w:sz w:val="16"/>
                <w:szCs w:val="16"/>
                <w:vertAlign w:val="superscript"/>
              </w:rPr>
              <w:t>6</w:t>
            </w:r>
            <w:r w:rsidRPr="00B55E2D">
              <w:rPr>
                <w:rFonts w:cs="Arial"/>
                <w:sz w:val="16"/>
                <w:szCs w:val="16"/>
              </w:rPr>
              <w:t xml:space="preserve"> to</w:t>
            </w:r>
            <w:r>
              <w:rPr>
                <w:rFonts w:cs="Arial"/>
                <w:sz w:val="16"/>
                <w:szCs w:val="16"/>
              </w:rPr>
              <w:t xml:space="preserve"> 1</w:t>
            </w:r>
            <w:r w:rsidRPr="005741C8">
              <w:rPr>
                <w:rFonts w:cs="Arial"/>
                <w:sz w:val="16"/>
                <w:szCs w:val="16"/>
              </w:rPr>
              <w:t>x10</w:t>
            </w:r>
            <w:r>
              <w:rPr>
                <w:rFonts w:cs="Arial"/>
                <w:sz w:val="16"/>
                <w:szCs w:val="16"/>
                <w:vertAlign w:val="superscript"/>
              </w:rPr>
              <w:t>8</w:t>
            </w:r>
            <w:r w:rsidRPr="005741C8">
              <w:rPr>
                <w:rFonts w:cs="Arial"/>
                <w:sz w:val="16"/>
                <w:szCs w:val="16"/>
              </w:rPr>
              <w:t xml:space="preserve"> CAR-positive viable </w:t>
            </w:r>
            <w:r>
              <w:rPr>
                <w:rFonts w:cs="Arial"/>
                <w:sz w:val="16"/>
                <w:szCs w:val="16"/>
              </w:rPr>
              <w:t>T cells in 30mL or 70m</w:t>
            </w:r>
            <w:r w:rsidRPr="000923EB">
              <w:rPr>
                <w:rFonts w:cs="Arial"/>
                <w:sz w:val="16"/>
                <w:szCs w:val="16"/>
              </w:rPr>
              <w:t>L bag</w:t>
            </w:r>
          </w:p>
        </w:tc>
        <w:tc>
          <w:tcPr>
            <w:tcW w:w="3640" w:type="pct"/>
            <w:shd w:val="clear" w:color="auto" w:fill="auto"/>
            <w:tcMar>
              <w:top w:w="57" w:type="dxa"/>
              <w:bottom w:w="57" w:type="dxa"/>
            </w:tcMar>
          </w:tcPr>
          <w:p w14:paraId="45263E7F" w14:textId="50A9AB42" w:rsidR="00BC7F1F" w:rsidRPr="008547B7" w:rsidRDefault="00BC7F1F" w:rsidP="00BC7F1F">
            <w:pPr>
              <w:tabs>
                <w:tab w:val="center" w:pos="3152"/>
              </w:tabs>
              <w:rPr>
                <w:rFonts w:cs="Arial"/>
                <w:szCs w:val="19"/>
                <w:lang w:val="en-US"/>
              </w:rPr>
            </w:pPr>
            <w:r w:rsidRPr="009C27A3">
              <w:rPr>
                <w:rFonts w:cs="Arial"/>
                <w:szCs w:val="19"/>
                <w:lang w:val="en-US"/>
              </w:rPr>
              <w:t>Treatment of adults with relapsed and refractory multiple myeloma, who have received at least one prior therapy, including an immunomodulatory agent and a proteasome inhibitor, have demonstrated disease progression on the last therapy, and are refractory to lenalidomide</w:t>
            </w:r>
            <w:r w:rsidRPr="009C27A3">
              <w:rPr>
                <w:rFonts w:cs="Arial"/>
                <w:sz w:val="16"/>
                <w:szCs w:val="16"/>
                <w:lang w:val="en-US"/>
              </w:rPr>
              <w:t xml:space="preserve"> [licence change from use only after three prior therapies]</w:t>
            </w:r>
          </w:p>
        </w:tc>
      </w:tr>
      <w:tr w:rsidR="00BC7F1F" w14:paraId="0434A614" w14:textId="77777777" w:rsidTr="00552108">
        <w:tc>
          <w:tcPr>
            <w:tcW w:w="1360" w:type="pct"/>
            <w:gridSpan w:val="2"/>
            <w:shd w:val="clear" w:color="auto" w:fill="auto"/>
            <w:tcMar>
              <w:top w:w="57" w:type="dxa"/>
              <w:bottom w:w="57" w:type="dxa"/>
            </w:tcMar>
          </w:tcPr>
          <w:p w14:paraId="0DC2830C" w14:textId="77777777" w:rsidR="00BC7F1F" w:rsidRDefault="00BC7F1F" w:rsidP="00BC7F1F">
            <w:pPr>
              <w:rPr>
                <w:rFonts w:cs="Arial"/>
                <w:szCs w:val="19"/>
              </w:rPr>
            </w:pPr>
            <w:r>
              <w:rPr>
                <w:rFonts w:cs="Arial"/>
                <w:szCs w:val="19"/>
              </w:rPr>
              <w:t xml:space="preserve">Enalapril </w:t>
            </w:r>
          </w:p>
          <w:p w14:paraId="5BD4C40B" w14:textId="2DF9E0A0" w:rsidR="00BC7F1F" w:rsidRPr="002F73AD" w:rsidRDefault="00BC7F1F" w:rsidP="00BC7F1F">
            <w:pPr>
              <w:rPr>
                <w:rFonts w:cs="Arial"/>
                <w:szCs w:val="19"/>
              </w:rPr>
            </w:pPr>
            <w:r>
              <w:rPr>
                <w:rFonts w:cs="Arial"/>
                <w:sz w:val="16"/>
                <w:szCs w:val="16"/>
              </w:rPr>
              <w:t>1</w:t>
            </w:r>
            <w:r w:rsidRPr="008547B7">
              <w:rPr>
                <w:rFonts w:cs="Arial"/>
                <w:sz w:val="16"/>
                <w:szCs w:val="16"/>
              </w:rPr>
              <w:t xml:space="preserve">mg in </w:t>
            </w:r>
            <w:r>
              <w:rPr>
                <w:rFonts w:cs="Arial"/>
                <w:sz w:val="16"/>
                <w:szCs w:val="16"/>
              </w:rPr>
              <w:t>1</w:t>
            </w:r>
            <w:r w:rsidRPr="008547B7">
              <w:rPr>
                <w:rFonts w:cs="Arial"/>
                <w:sz w:val="16"/>
                <w:szCs w:val="16"/>
              </w:rPr>
              <w:t>mL oral solution</w:t>
            </w:r>
          </w:p>
        </w:tc>
        <w:tc>
          <w:tcPr>
            <w:tcW w:w="3640" w:type="pct"/>
            <w:shd w:val="clear" w:color="auto" w:fill="auto"/>
            <w:tcMar>
              <w:top w:w="57" w:type="dxa"/>
              <w:bottom w:w="57" w:type="dxa"/>
            </w:tcMar>
          </w:tcPr>
          <w:p w14:paraId="0C71C8E5" w14:textId="7F2F25CF" w:rsidR="00BC7F1F" w:rsidRPr="00A075A3" w:rsidRDefault="00BC7F1F" w:rsidP="00BC7F1F">
            <w:pPr>
              <w:tabs>
                <w:tab w:val="center" w:pos="3152"/>
              </w:tabs>
              <w:rPr>
                <w:rFonts w:cs="Arial"/>
                <w:szCs w:val="19"/>
                <w:lang w:val="en-US"/>
              </w:rPr>
            </w:pPr>
            <w:r w:rsidRPr="008547B7">
              <w:rPr>
                <w:rFonts w:cs="Arial"/>
                <w:szCs w:val="19"/>
                <w:lang w:val="en-US"/>
              </w:rPr>
              <w:t>Treatment of hypertension, treatment of symptomatic heart failure, and prevention of symptomatic heart failure in patients with asymptomatic left ventricular dysfunction (ejection fraction ≤ 35%)</w:t>
            </w:r>
            <w:r>
              <w:rPr>
                <w:rFonts w:cs="Arial"/>
                <w:szCs w:val="19"/>
                <w:lang w:val="en-US"/>
              </w:rPr>
              <w:t xml:space="preserve"> </w:t>
            </w:r>
            <w:r w:rsidRPr="008547B7">
              <w:rPr>
                <w:rFonts w:cs="Arial"/>
                <w:sz w:val="16"/>
                <w:szCs w:val="16"/>
                <w:lang w:val="en-US"/>
              </w:rPr>
              <w:t>[new oral solution formulation for use in all ages except neonates and in paediatric patients with glomerular filtration rate &lt;30mL/minute/1.73 m</w:t>
            </w:r>
            <w:r w:rsidRPr="008547B7">
              <w:rPr>
                <w:rFonts w:cs="Arial"/>
                <w:sz w:val="16"/>
                <w:szCs w:val="16"/>
                <w:vertAlign w:val="superscript"/>
                <w:lang w:val="en-US"/>
              </w:rPr>
              <w:t>2</w:t>
            </w:r>
            <w:r>
              <w:rPr>
                <w:rFonts w:cs="Arial"/>
                <w:sz w:val="16"/>
                <w:szCs w:val="16"/>
                <w:lang w:val="en-US"/>
              </w:rPr>
              <w:t>]</w:t>
            </w:r>
          </w:p>
        </w:tc>
      </w:tr>
      <w:tr w:rsidR="00BC7F1F" w14:paraId="44CFA12C" w14:textId="77777777" w:rsidTr="00552108">
        <w:tc>
          <w:tcPr>
            <w:tcW w:w="1360" w:type="pct"/>
            <w:gridSpan w:val="2"/>
            <w:shd w:val="clear" w:color="auto" w:fill="auto"/>
            <w:tcMar>
              <w:top w:w="57" w:type="dxa"/>
              <w:bottom w:w="57" w:type="dxa"/>
            </w:tcMar>
          </w:tcPr>
          <w:p w14:paraId="30CC0B39" w14:textId="197289BD" w:rsidR="00BC7F1F" w:rsidRDefault="00BC7F1F" w:rsidP="00BC7F1F">
            <w:pPr>
              <w:rPr>
                <w:rFonts w:cs="Arial"/>
                <w:szCs w:val="19"/>
              </w:rPr>
            </w:pPr>
            <w:r>
              <w:rPr>
                <w:rFonts w:cs="Arial"/>
                <w:szCs w:val="19"/>
              </w:rPr>
              <w:t>Escitalopram (</w:t>
            </w:r>
            <w:proofErr w:type="spellStart"/>
            <w:r>
              <w:rPr>
                <w:rFonts w:cs="Arial"/>
                <w:i/>
                <w:iCs/>
                <w:szCs w:val="19"/>
              </w:rPr>
              <w:t>Enalto</w:t>
            </w:r>
            <w:proofErr w:type="spellEnd"/>
            <w:r>
              <w:rPr>
                <w:rFonts w:cs="Arial"/>
                <w:szCs w:val="19"/>
              </w:rPr>
              <w:t>)</w:t>
            </w:r>
          </w:p>
          <w:p w14:paraId="72D3F92C" w14:textId="1FF9A5DC" w:rsidR="00BC7F1F" w:rsidRPr="00437C42" w:rsidRDefault="00BC7F1F" w:rsidP="00BC7F1F">
            <w:pPr>
              <w:rPr>
                <w:rFonts w:cs="Arial"/>
                <w:szCs w:val="19"/>
              </w:rPr>
            </w:pPr>
            <w:r w:rsidRPr="00437C42">
              <w:rPr>
                <w:rFonts w:cs="Arial"/>
                <w:sz w:val="16"/>
                <w:szCs w:val="16"/>
              </w:rPr>
              <w:t xml:space="preserve">5mg, 10mg, 15mg and 20mg </w:t>
            </w:r>
            <w:proofErr w:type="spellStart"/>
            <w:r w:rsidRPr="00437C42">
              <w:rPr>
                <w:rFonts w:cs="Arial"/>
                <w:sz w:val="16"/>
                <w:szCs w:val="16"/>
              </w:rPr>
              <w:t>orodispersible</w:t>
            </w:r>
            <w:proofErr w:type="spellEnd"/>
            <w:r w:rsidRPr="00437C42">
              <w:rPr>
                <w:rFonts w:cs="Arial"/>
                <w:sz w:val="16"/>
                <w:szCs w:val="16"/>
              </w:rPr>
              <w:t xml:space="preserve"> tablets</w:t>
            </w:r>
          </w:p>
        </w:tc>
        <w:tc>
          <w:tcPr>
            <w:tcW w:w="3640" w:type="pct"/>
            <w:shd w:val="clear" w:color="auto" w:fill="auto"/>
            <w:tcMar>
              <w:top w:w="57" w:type="dxa"/>
              <w:bottom w:w="57" w:type="dxa"/>
            </w:tcMar>
          </w:tcPr>
          <w:p w14:paraId="490AF7C2" w14:textId="6CB97ACC" w:rsidR="00BC7F1F" w:rsidRPr="00A075A3" w:rsidRDefault="00BC7F1F" w:rsidP="00BC7F1F">
            <w:pPr>
              <w:tabs>
                <w:tab w:val="num" w:pos="720"/>
                <w:tab w:val="center" w:pos="3152"/>
              </w:tabs>
              <w:rPr>
                <w:rFonts w:cs="Arial"/>
                <w:szCs w:val="19"/>
                <w:lang w:val="en-US"/>
              </w:rPr>
            </w:pPr>
            <w:r w:rsidRPr="00437C42">
              <w:rPr>
                <w:rFonts w:cs="Arial"/>
                <w:szCs w:val="19"/>
                <w:lang w:val="en-US"/>
              </w:rPr>
              <w:t>Treatment of major depressive episodes, panic disorder with or without agoraphobia, social anxiety disorder (social phobia), generalised anxiety disorder and obsessive-compulsive disorder</w:t>
            </w:r>
            <w:r>
              <w:rPr>
                <w:rFonts w:cs="Arial"/>
                <w:szCs w:val="19"/>
                <w:lang w:val="en-US"/>
              </w:rPr>
              <w:t xml:space="preserve"> </w:t>
            </w:r>
            <w:r w:rsidRPr="00437C42">
              <w:rPr>
                <w:rFonts w:cs="Arial"/>
                <w:sz w:val="16"/>
                <w:szCs w:val="16"/>
                <w:lang w:val="en-US"/>
              </w:rPr>
              <w:t xml:space="preserve">[new </w:t>
            </w:r>
            <w:proofErr w:type="spellStart"/>
            <w:r w:rsidRPr="00437C42">
              <w:rPr>
                <w:rFonts w:cs="Arial"/>
                <w:sz w:val="16"/>
                <w:szCs w:val="16"/>
                <w:lang w:val="en-US"/>
              </w:rPr>
              <w:t>orodisper</w:t>
            </w:r>
            <w:r>
              <w:rPr>
                <w:rFonts w:cs="Arial"/>
                <w:sz w:val="16"/>
                <w:szCs w:val="16"/>
                <w:lang w:val="en-US"/>
              </w:rPr>
              <w:t>s</w:t>
            </w:r>
            <w:r w:rsidRPr="00437C42">
              <w:rPr>
                <w:rFonts w:cs="Arial"/>
                <w:sz w:val="16"/>
                <w:szCs w:val="16"/>
                <w:lang w:val="en-US"/>
              </w:rPr>
              <w:t>ible</w:t>
            </w:r>
            <w:proofErr w:type="spellEnd"/>
            <w:r w:rsidRPr="00437C42">
              <w:rPr>
                <w:rFonts w:cs="Arial"/>
                <w:sz w:val="16"/>
                <w:szCs w:val="16"/>
                <w:lang w:val="en-US"/>
              </w:rPr>
              <w:t xml:space="preserve"> tablet formulation for use in adults]</w:t>
            </w:r>
          </w:p>
        </w:tc>
      </w:tr>
      <w:tr w:rsidR="00BC7F1F" w14:paraId="2BC7F2B2" w14:textId="77777777" w:rsidTr="00552108">
        <w:tc>
          <w:tcPr>
            <w:tcW w:w="1360" w:type="pct"/>
            <w:gridSpan w:val="2"/>
            <w:shd w:val="clear" w:color="auto" w:fill="auto"/>
            <w:tcMar>
              <w:top w:w="57" w:type="dxa"/>
              <w:bottom w:w="57" w:type="dxa"/>
            </w:tcMar>
          </w:tcPr>
          <w:p w14:paraId="2371A224" w14:textId="77777777" w:rsidR="00BC7F1F" w:rsidRDefault="00BC7F1F" w:rsidP="00BC7F1F">
            <w:pPr>
              <w:rPr>
                <w:rFonts w:cs="Arial"/>
                <w:szCs w:val="19"/>
              </w:rPr>
            </w:pPr>
            <w:r>
              <w:rPr>
                <w:rFonts w:cs="Arial"/>
                <w:szCs w:val="19"/>
              </w:rPr>
              <w:t>Oxybutynin (</w:t>
            </w:r>
            <w:proofErr w:type="spellStart"/>
            <w:r>
              <w:rPr>
                <w:rFonts w:cs="Arial"/>
                <w:i/>
                <w:iCs/>
                <w:szCs w:val="19"/>
              </w:rPr>
              <w:t>Velariq</w:t>
            </w:r>
            <w:proofErr w:type="spellEnd"/>
            <w:r>
              <w:rPr>
                <w:rFonts w:cs="Arial"/>
                <w:szCs w:val="19"/>
              </w:rPr>
              <w:t xml:space="preserve">) </w:t>
            </w:r>
          </w:p>
          <w:p w14:paraId="654B6270" w14:textId="0687D135" w:rsidR="00BC7F1F" w:rsidRPr="00552108" w:rsidRDefault="00BC7F1F" w:rsidP="00BC7F1F">
            <w:pPr>
              <w:rPr>
                <w:rFonts w:cs="Arial"/>
                <w:szCs w:val="19"/>
              </w:rPr>
            </w:pPr>
            <w:r w:rsidRPr="00552108">
              <w:rPr>
                <w:rFonts w:cs="Arial"/>
                <w:sz w:val="16"/>
                <w:szCs w:val="16"/>
              </w:rPr>
              <w:t>10mg in 10mL prefilled syringe</w:t>
            </w:r>
          </w:p>
        </w:tc>
        <w:tc>
          <w:tcPr>
            <w:tcW w:w="3640" w:type="pct"/>
            <w:shd w:val="clear" w:color="auto" w:fill="auto"/>
            <w:tcMar>
              <w:top w:w="57" w:type="dxa"/>
              <w:bottom w:w="57" w:type="dxa"/>
            </w:tcMar>
          </w:tcPr>
          <w:p w14:paraId="180C528F" w14:textId="3C9B11AC" w:rsidR="00BC7F1F" w:rsidRPr="00A075A3" w:rsidRDefault="00BC7F1F" w:rsidP="00BC7F1F">
            <w:pPr>
              <w:tabs>
                <w:tab w:val="center" w:pos="3152"/>
              </w:tabs>
              <w:rPr>
                <w:rFonts w:cs="Arial"/>
                <w:szCs w:val="19"/>
                <w:lang w:val="en-US"/>
              </w:rPr>
            </w:pPr>
            <w:r>
              <w:rPr>
                <w:rFonts w:cs="Arial"/>
                <w:szCs w:val="19"/>
                <w:lang w:val="en-US"/>
              </w:rPr>
              <w:t>S</w:t>
            </w:r>
            <w:r w:rsidRPr="00552108">
              <w:rPr>
                <w:rFonts w:cs="Arial"/>
                <w:szCs w:val="19"/>
                <w:lang w:val="en-US"/>
              </w:rPr>
              <w:t xml:space="preserve">uppression of neurogenic detrusor overactivity in children </w:t>
            </w:r>
            <w:r>
              <w:rPr>
                <w:rFonts w:cs="Arial"/>
                <w:szCs w:val="19"/>
                <w:lang w:val="en-US"/>
              </w:rPr>
              <w:t>aged ≥</w:t>
            </w:r>
            <w:r w:rsidRPr="00552108">
              <w:rPr>
                <w:rFonts w:cs="Arial"/>
                <w:szCs w:val="19"/>
                <w:lang w:val="en-US"/>
              </w:rPr>
              <w:t xml:space="preserve">6 years and adults, who are managing bladder emptying by clean intermittent </w:t>
            </w:r>
            <w:proofErr w:type="spellStart"/>
            <w:r w:rsidRPr="00552108">
              <w:rPr>
                <w:rFonts w:cs="Arial"/>
                <w:szCs w:val="19"/>
                <w:lang w:val="en-US"/>
              </w:rPr>
              <w:t>catheterisation</w:t>
            </w:r>
            <w:proofErr w:type="spellEnd"/>
            <w:r w:rsidRPr="00552108">
              <w:rPr>
                <w:rFonts w:cs="Arial"/>
                <w:szCs w:val="19"/>
                <w:lang w:val="en-US"/>
              </w:rPr>
              <w:t>, not adequately managed with oral anticholinergics</w:t>
            </w:r>
            <w:r>
              <w:rPr>
                <w:rFonts w:cs="Arial"/>
                <w:szCs w:val="19"/>
                <w:lang w:val="en-US"/>
              </w:rPr>
              <w:t xml:space="preserve"> </w:t>
            </w:r>
            <w:r w:rsidRPr="00552108">
              <w:rPr>
                <w:rFonts w:cs="Arial"/>
                <w:sz w:val="16"/>
                <w:szCs w:val="16"/>
                <w:lang w:val="en-US"/>
              </w:rPr>
              <w:t>[new intravesical formulation]</w:t>
            </w:r>
          </w:p>
        </w:tc>
      </w:tr>
      <w:tr w:rsidR="00BC7F1F" w14:paraId="47C36066" w14:textId="77777777" w:rsidTr="00552108">
        <w:tc>
          <w:tcPr>
            <w:tcW w:w="1360" w:type="pct"/>
            <w:gridSpan w:val="2"/>
            <w:shd w:val="clear" w:color="auto" w:fill="auto"/>
            <w:tcMar>
              <w:top w:w="57" w:type="dxa"/>
              <w:bottom w:w="57" w:type="dxa"/>
            </w:tcMar>
          </w:tcPr>
          <w:p w14:paraId="50641458" w14:textId="2A6D5F58" w:rsidR="00BC7F1F" w:rsidRDefault="00BC7F1F" w:rsidP="00BC7F1F">
            <w:pPr>
              <w:rPr>
                <w:rFonts w:cs="Arial"/>
                <w:szCs w:val="19"/>
              </w:rPr>
            </w:pPr>
            <w:r>
              <w:rPr>
                <w:rFonts w:cs="Arial"/>
                <w:szCs w:val="19"/>
              </w:rPr>
              <w:t>Povidon</w:t>
            </w:r>
            <w:r w:rsidRPr="005C3DF1">
              <w:rPr>
                <w:rFonts w:cs="Arial"/>
                <w:szCs w:val="19"/>
              </w:rPr>
              <w:t>e iodine </w:t>
            </w:r>
            <w:r>
              <w:rPr>
                <w:rFonts w:cs="Arial"/>
                <w:szCs w:val="19"/>
              </w:rPr>
              <w:t>(</w:t>
            </w:r>
            <w:r>
              <w:rPr>
                <w:rFonts w:cs="Arial"/>
                <w:i/>
                <w:iCs/>
                <w:szCs w:val="19"/>
              </w:rPr>
              <w:t>Betadine</w:t>
            </w:r>
            <w:r>
              <w:rPr>
                <w:rFonts w:cs="Arial"/>
                <w:szCs w:val="19"/>
              </w:rPr>
              <w:t>)</w:t>
            </w:r>
          </w:p>
          <w:p w14:paraId="30B659BA" w14:textId="270DE1D2" w:rsidR="00BC7F1F" w:rsidRPr="005C3DF1" w:rsidRDefault="00BC7F1F" w:rsidP="00BC7F1F">
            <w:pPr>
              <w:rPr>
                <w:rFonts w:cs="Arial"/>
                <w:szCs w:val="19"/>
              </w:rPr>
            </w:pPr>
            <w:r w:rsidRPr="005C3DF1">
              <w:rPr>
                <w:rFonts w:cs="Arial"/>
                <w:sz w:val="16"/>
                <w:szCs w:val="16"/>
              </w:rPr>
              <w:t>5</w:t>
            </w:r>
            <w:r>
              <w:rPr>
                <w:rFonts w:cs="Arial"/>
                <w:sz w:val="16"/>
                <w:szCs w:val="16"/>
              </w:rPr>
              <w:t>%</w:t>
            </w:r>
            <w:r w:rsidRPr="005C3DF1">
              <w:rPr>
                <w:rFonts w:cs="Arial"/>
                <w:sz w:val="16"/>
                <w:szCs w:val="16"/>
              </w:rPr>
              <w:t xml:space="preserve"> cream</w:t>
            </w:r>
          </w:p>
        </w:tc>
        <w:tc>
          <w:tcPr>
            <w:tcW w:w="3640" w:type="pct"/>
            <w:shd w:val="clear" w:color="auto" w:fill="auto"/>
            <w:tcMar>
              <w:top w:w="57" w:type="dxa"/>
              <w:bottom w:w="57" w:type="dxa"/>
            </w:tcMar>
          </w:tcPr>
          <w:p w14:paraId="5E9CFDD9" w14:textId="65490D45" w:rsidR="00BC7F1F" w:rsidRPr="00A075A3" w:rsidRDefault="00BC7F1F" w:rsidP="00BC7F1F">
            <w:pPr>
              <w:tabs>
                <w:tab w:val="center" w:pos="3152"/>
              </w:tabs>
              <w:rPr>
                <w:rFonts w:cs="Arial"/>
                <w:szCs w:val="19"/>
                <w:lang w:val="en-US"/>
              </w:rPr>
            </w:pPr>
            <w:r w:rsidRPr="005C3DF1">
              <w:rPr>
                <w:rFonts w:cs="Arial"/>
                <w:szCs w:val="19"/>
                <w:lang w:val="en-US"/>
              </w:rPr>
              <w:t>Treatment and prevention of infections in minor wounds (cuts and abrasions) and burns</w:t>
            </w:r>
            <w:r>
              <w:rPr>
                <w:rFonts w:cs="Arial"/>
                <w:szCs w:val="19"/>
                <w:lang w:val="en-US"/>
              </w:rPr>
              <w:t xml:space="preserve"> </w:t>
            </w:r>
            <w:r w:rsidRPr="004D530E">
              <w:rPr>
                <w:rFonts w:cs="Arial"/>
                <w:color w:val="000000" w:themeColor="text1"/>
                <w:sz w:val="16"/>
                <w:szCs w:val="16"/>
                <w:lang w:val="en-US"/>
              </w:rPr>
              <w:t>[new cream formulation]</w:t>
            </w:r>
          </w:p>
        </w:tc>
      </w:tr>
      <w:tr w:rsidR="00BC7F1F" w14:paraId="7B41C193" w14:textId="77777777" w:rsidTr="00552108">
        <w:tc>
          <w:tcPr>
            <w:tcW w:w="1360" w:type="pct"/>
            <w:gridSpan w:val="2"/>
            <w:shd w:val="clear" w:color="auto" w:fill="auto"/>
            <w:tcMar>
              <w:top w:w="57" w:type="dxa"/>
              <w:bottom w:w="57" w:type="dxa"/>
            </w:tcMar>
          </w:tcPr>
          <w:p w14:paraId="26A4BE9B" w14:textId="77777777" w:rsidR="00BC7F1F" w:rsidRDefault="00BC7F1F" w:rsidP="00BC7F1F">
            <w:pPr>
              <w:rPr>
                <w:rFonts w:cs="Arial"/>
                <w:szCs w:val="19"/>
              </w:rPr>
            </w:pPr>
            <w:r>
              <w:rPr>
                <w:rFonts w:cs="Arial"/>
                <w:szCs w:val="19"/>
              </w:rPr>
              <w:t>Tenecteplase (</w:t>
            </w:r>
            <w:proofErr w:type="spellStart"/>
            <w:r>
              <w:rPr>
                <w:rFonts w:cs="Arial"/>
                <w:i/>
                <w:iCs/>
                <w:szCs w:val="19"/>
              </w:rPr>
              <w:t>Metalyse</w:t>
            </w:r>
            <w:proofErr w:type="spellEnd"/>
            <w:r>
              <w:rPr>
                <w:rFonts w:cs="Arial"/>
                <w:szCs w:val="19"/>
              </w:rPr>
              <w:t>)</w:t>
            </w:r>
          </w:p>
          <w:p w14:paraId="59FBFB4B" w14:textId="44DA6406" w:rsidR="00BC7F1F" w:rsidRDefault="00BC7F1F" w:rsidP="00BC7F1F">
            <w:pPr>
              <w:rPr>
                <w:rFonts w:cs="Arial"/>
                <w:szCs w:val="19"/>
              </w:rPr>
            </w:pPr>
            <w:r w:rsidRPr="004705BE">
              <w:rPr>
                <w:rFonts w:cs="Arial"/>
                <w:sz w:val="16"/>
                <w:szCs w:val="16"/>
              </w:rPr>
              <w:t>5,000units (25mg) vial</w:t>
            </w:r>
          </w:p>
        </w:tc>
        <w:tc>
          <w:tcPr>
            <w:tcW w:w="3640" w:type="pct"/>
            <w:shd w:val="clear" w:color="auto" w:fill="auto"/>
            <w:tcMar>
              <w:top w:w="57" w:type="dxa"/>
              <w:bottom w:w="57" w:type="dxa"/>
            </w:tcMar>
          </w:tcPr>
          <w:p w14:paraId="4B3F125D" w14:textId="60AF420B" w:rsidR="00BC7F1F" w:rsidRDefault="00BC7F1F" w:rsidP="00BC7F1F">
            <w:pPr>
              <w:tabs>
                <w:tab w:val="num" w:pos="720"/>
                <w:tab w:val="center" w:pos="3152"/>
              </w:tabs>
              <w:rPr>
                <w:rFonts w:cs="Arial"/>
                <w:sz w:val="16"/>
                <w:szCs w:val="16"/>
                <w:lang w:val="en-US"/>
              </w:rPr>
            </w:pPr>
            <w:r>
              <w:rPr>
                <w:rFonts w:cs="Arial"/>
                <w:szCs w:val="19"/>
                <w:lang w:val="en-US"/>
              </w:rPr>
              <w:t>Use i</w:t>
            </w:r>
            <w:r w:rsidRPr="00AE1197">
              <w:rPr>
                <w:rFonts w:cs="Arial"/>
                <w:szCs w:val="19"/>
                <w:lang w:val="en-US"/>
              </w:rPr>
              <w:t xml:space="preserve">n adults for the thrombolytic treatment of acute </w:t>
            </w:r>
            <w:proofErr w:type="spellStart"/>
            <w:r w:rsidRPr="00AE1197">
              <w:rPr>
                <w:rFonts w:cs="Arial"/>
                <w:szCs w:val="19"/>
                <w:lang w:val="en-US"/>
              </w:rPr>
              <w:t>ischaemic</w:t>
            </w:r>
            <w:proofErr w:type="spellEnd"/>
            <w:r w:rsidRPr="00AE1197">
              <w:rPr>
                <w:rFonts w:cs="Arial"/>
                <w:szCs w:val="19"/>
                <w:lang w:val="en-US"/>
              </w:rPr>
              <w:t xml:space="preserve"> stroke within 4.5 hours from last known well and after exclusion of intracranial haemorrhage</w:t>
            </w:r>
          </w:p>
          <w:p w14:paraId="32E44BEE" w14:textId="4DB04FCD" w:rsidR="00BC7F1F" w:rsidRPr="005C3DF1" w:rsidRDefault="00BC7F1F" w:rsidP="00BC7F1F">
            <w:pPr>
              <w:tabs>
                <w:tab w:val="center" w:pos="3152"/>
              </w:tabs>
              <w:rPr>
                <w:rFonts w:cs="Arial"/>
                <w:szCs w:val="19"/>
                <w:lang w:val="en-US"/>
              </w:rPr>
            </w:pPr>
            <w:r w:rsidRPr="00AE1197">
              <w:rPr>
                <w:rFonts w:cs="Arial"/>
                <w:sz w:val="16"/>
                <w:szCs w:val="16"/>
                <w:lang w:val="en-US"/>
              </w:rPr>
              <w:t>[new 5,000unit vial formulation with new indication]</w:t>
            </w:r>
          </w:p>
        </w:tc>
      </w:tr>
      <w:tr w:rsidR="00BC7F1F" w14:paraId="396E676F" w14:textId="77777777" w:rsidTr="00552108">
        <w:tc>
          <w:tcPr>
            <w:tcW w:w="1360" w:type="pct"/>
            <w:gridSpan w:val="2"/>
            <w:shd w:val="clear" w:color="auto" w:fill="auto"/>
            <w:tcMar>
              <w:top w:w="57" w:type="dxa"/>
              <w:bottom w:w="57" w:type="dxa"/>
            </w:tcMar>
          </w:tcPr>
          <w:p w14:paraId="5000EE4B" w14:textId="77777777" w:rsidR="00BC7F1F" w:rsidRDefault="00BC7F1F" w:rsidP="00BC7F1F">
            <w:pPr>
              <w:rPr>
                <w:rFonts w:cs="Arial"/>
                <w:szCs w:val="19"/>
              </w:rPr>
            </w:pPr>
            <w:r>
              <w:rPr>
                <w:rFonts w:cs="Arial"/>
                <w:szCs w:val="19"/>
              </w:rPr>
              <w:t>Ustekinumab biosimilar (</w:t>
            </w:r>
            <w:proofErr w:type="spellStart"/>
            <w:r w:rsidRPr="00812244">
              <w:rPr>
                <w:rFonts w:cs="Arial"/>
                <w:i/>
                <w:iCs/>
                <w:szCs w:val="19"/>
              </w:rPr>
              <w:t>Pyzchiva</w:t>
            </w:r>
            <w:proofErr w:type="spellEnd"/>
            <w:r>
              <w:rPr>
                <w:rFonts w:cs="Arial"/>
                <w:szCs w:val="19"/>
              </w:rPr>
              <w:t xml:space="preserve">) </w:t>
            </w:r>
          </w:p>
          <w:p w14:paraId="5F1CEF70" w14:textId="50405B71" w:rsidR="00BC7F1F" w:rsidRDefault="00BC7F1F" w:rsidP="00BC7F1F">
            <w:pPr>
              <w:rPr>
                <w:rFonts w:cs="Arial"/>
                <w:szCs w:val="19"/>
              </w:rPr>
            </w:pPr>
            <w:r w:rsidRPr="001176F9">
              <w:rPr>
                <w:rFonts w:cs="Arial"/>
                <w:sz w:val="16"/>
                <w:szCs w:val="16"/>
              </w:rPr>
              <w:t>130mg in 26mL vial</w:t>
            </w:r>
          </w:p>
        </w:tc>
        <w:tc>
          <w:tcPr>
            <w:tcW w:w="3640" w:type="pct"/>
            <w:shd w:val="clear" w:color="auto" w:fill="auto"/>
            <w:tcMar>
              <w:top w:w="57" w:type="dxa"/>
              <w:bottom w:w="57" w:type="dxa"/>
            </w:tcMar>
          </w:tcPr>
          <w:p w14:paraId="741A8BB4" w14:textId="16C03E3F" w:rsidR="00BC7F1F" w:rsidRDefault="00BC7F1F" w:rsidP="00BC7F1F">
            <w:pPr>
              <w:tabs>
                <w:tab w:val="num" w:pos="720"/>
                <w:tab w:val="center" w:pos="3152"/>
              </w:tabs>
              <w:rPr>
                <w:rFonts w:cs="Arial"/>
                <w:szCs w:val="19"/>
                <w:lang w:val="en-US"/>
              </w:rPr>
            </w:pPr>
            <w:r w:rsidRPr="001176F9">
              <w:rPr>
                <w:rFonts w:cs="Arial"/>
                <w:szCs w:val="19"/>
                <w:lang w:val="en-US"/>
              </w:rPr>
              <w:t>Treatment of adults with moderately to severely active Crohn’s disease who have had an inadequate response with, lost response to, or were intolerant to either conventional therapy or a TNFα antagonist or have medical contraindications to such therapies</w:t>
            </w:r>
          </w:p>
        </w:tc>
      </w:tr>
      <w:tr w:rsidR="00BC7F1F" w14:paraId="2FAB89AA" w14:textId="77777777" w:rsidTr="00552108">
        <w:tc>
          <w:tcPr>
            <w:tcW w:w="1360" w:type="pct"/>
            <w:gridSpan w:val="2"/>
            <w:shd w:val="clear" w:color="auto" w:fill="auto"/>
            <w:tcMar>
              <w:top w:w="57" w:type="dxa"/>
              <w:bottom w:w="57" w:type="dxa"/>
            </w:tcMar>
          </w:tcPr>
          <w:p w14:paraId="425EF741" w14:textId="77777777" w:rsidR="00BC7F1F" w:rsidRDefault="00BC7F1F" w:rsidP="00BC7F1F">
            <w:pPr>
              <w:rPr>
                <w:rFonts w:cs="Arial"/>
                <w:szCs w:val="19"/>
              </w:rPr>
            </w:pPr>
            <w:r>
              <w:rPr>
                <w:rFonts w:cs="Arial"/>
                <w:szCs w:val="19"/>
              </w:rPr>
              <w:t>Ustekinumab biosimilar (</w:t>
            </w:r>
            <w:proofErr w:type="spellStart"/>
            <w:r w:rsidRPr="00812244">
              <w:rPr>
                <w:rFonts w:cs="Arial"/>
                <w:i/>
                <w:iCs/>
                <w:szCs w:val="19"/>
              </w:rPr>
              <w:t>Pyzchiva</w:t>
            </w:r>
            <w:proofErr w:type="spellEnd"/>
            <w:r>
              <w:rPr>
                <w:rFonts w:cs="Arial"/>
                <w:szCs w:val="19"/>
              </w:rPr>
              <w:t xml:space="preserve">) </w:t>
            </w:r>
          </w:p>
          <w:p w14:paraId="4E8F0A31" w14:textId="31A92E38" w:rsidR="00BC7F1F" w:rsidRDefault="00BC7F1F" w:rsidP="00BC7F1F">
            <w:pPr>
              <w:rPr>
                <w:rFonts w:cs="Arial"/>
                <w:szCs w:val="19"/>
              </w:rPr>
            </w:pPr>
            <w:r w:rsidRPr="001176F9">
              <w:rPr>
                <w:rFonts w:cs="Arial"/>
                <w:sz w:val="16"/>
                <w:szCs w:val="16"/>
              </w:rPr>
              <w:t>45mg in 0.5mL and 90mg in 1mL prefilled syringes</w:t>
            </w:r>
          </w:p>
        </w:tc>
        <w:tc>
          <w:tcPr>
            <w:tcW w:w="3640" w:type="pct"/>
            <w:shd w:val="clear" w:color="auto" w:fill="auto"/>
            <w:tcMar>
              <w:top w:w="57" w:type="dxa"/>
              <w:bottom w:w="57" w:type="dxa"/>
            </w:tcMar>
          </w:tcPr>
          <w:p w14:paraId="6086D523" w14:textId="2B46B6EE" w:rsidR="00BC7F1F" w:rsidRDefault="00BC7F1F" w:rsidP="00BC7F1F">
            <w:pPr>
              <w:tabs>
                <w:tab w:val="num" w:pos="720"/>
                <w:tab w:val="center" w:pos="3152"/>
              </w:tabs>
              <w:rPr>
                <w:rFonts w:cs="Arial"/>
                <w:szCs w:val="19"/>
                <w:lang w:val="en-US"/>
              </w:rPr>
            </w:pPr>
            <w:r w:rsidRPr="001176F9">
              <w:rPr>
                <w:rFonts w:cs="Arial"/>
                <w:szCs w:val="19"/>
                <w:lang w:val="en-US"/>
              </w:rPr>
              <w:t xml:space="preserve">Treatment of moderate to severe plaque psoriasis in adults who failed to respond to, or who have a contraindication to, or are intolerant to other systemic therapies including </w:t>
            </w:r>
            <w:r w:rsidRPr="00C32455">
              <w:rPr>
                <w:rFonts w:cs="Arial"/>
                <w:szCs w:val="19"/>
                <w:lang w:val="en-US"/>
              </w:rPr>
              <w:t>ciclosporin, methotrexate (MTX) or PUVA (psoralen and ultraviolet A); treatment of moderate to severe plaque psoriasis in children and adolescent patients aged ≥6 years who are inadequately controlled by, or are intolerant to, other systemic therapies or phototherapies; use alone or in combination with MTX for the treatment of active psoriatic arthritis in adults when the response to previous non- biological disease-modifying anti-rheumatic drug therapy has been inadequate; treatment of adults with moderately to severely active Crohn’s disease who have had an inadequate response with, lost response to, or were intolerant to either conventional therapy or a TNFα antagonist or have medical contraindications to such therapies</w:t>
            </w:r>
          </w:p>
        </w:tc>
      </w:tr>
      <w:tr w:rsidR="00BC7F1F" w:rsidRPr="00862949" w14:paraId="562A4ED7" w14:textId="77777777" w:rsidTr="005A7E09">
        <w:tc>
          <w:tcPr>
            <w:tcW w:w="5000" w:type="pct"/>
            <w:gridSpan w:val="3"/>
            <w:shd w:val="clear" w:color="auto" w:fill="auto"/>
            <w:tcMar>
              <w:top w:w="0" w:type="dxa"/>
              <w:bottom w:w="0" w:type="dxa"/>
            </w:tcMar>
          </w:tcPr>
          <w:p w14:paraId="2D55F87B" w14:textId="77777777" w:rsidR="00BC7F1F" w:rsidRPr="00862949" w:rsidRDefault="00BC7F1F" w:rsidP="00BC7F1F">
            <w:pPr>
              <w:jc w:val="center"/>
              <w:rPr>
                <w:rFonts w:cs="Arial"/>
                <w:noProof/>
                <w:sz w:val="8"/>
                <w:szCs w:val="8"/>
              </w:rPr>
            </w:pPr>
          </w:p>
        </w:tc>
      </w:tr>
      <w:tr w:rsidR="00BC7F1F" w:rsidRPr="000F19E1" w14:paraId="6C81DE5D" w14:textId="77777777" w:rsidTr="00155BD9">
        <w:tc>
          <w:tcPr>
            <w:tcW w:w="1152" w:type="pct"/>
            <w:shd w:val="clear" w:color="auto" w:fill="DAEEF3"/>
            <w:tcMar>
              <w:top w:w="0" w:type="dxa"/>
              <w:bottom w:w="0" w:type="dxa"/>
            </w:tcMar>
          </w:tcPr>
          <w:p w14:paraId="301F64E0" w14:textId="77777777" w:rsidR="00BC7F1F" w:rsidRPr="000F19E1" w:rsidRDefault="00BC7F1F" w:rsidP="00BC7F1F">
            <w:pPr>
              <w:rPr>
                <w:rFonts w:cs="Arial"/>
                <w:bCs/>
                <w:sz w:val="8"/>
                <w:szCs w:val="8"/>
              </w:rPr>
            </w:pPr>
          </w:p>
        </w:tc>
        <w:tc>
          <w:tcPr>
            <w:tcW w:w="3848" w:type="pct"/>
            <w:gridSpan w:val="2"/>
            <w:shd w:val="clear" w:color="auto" w:fill="DAEEF3"/>
            <w:tcMar>
              <w:top w:w="0" w:type="dxa"/>
              <w:bottom w:w="0" w:type="dxa"/>
            </w:tcMar>
          </w:tcPr>
          <w:p w14:paraId="3F6DA5E3" w14:textId="77777777" w:rsidR="00BC7F1F" w:rsidRPr="000F19E1" w:rsidRDefault="00BC7F1F" w:rsidP="00BC7F1F">
            <w:pPr>
              <w:tabs>
                <w:tab w:val="center" w:pos="3152"/>
              </w:tabs>
              <w:rPr>
                <w:rFonts w:cs="Arial"/>
                <w:sz w:val="8"/>
                <w:szCs w:val="8"/>
                <w:lang w:val="en-US"/>
              </w:rPr>
            </w:pPr>
          </w:p>
        </w:tc>
      </w:tr>
      <w:tr w:rsidR="00BC7F1F" w:rsidRPr="00831779" w14:paraId="24480B37" w14:textId="77777777" w:rsidTr="00D6452A">
        <w:tc>
          <w:tcPr>
            <w:tcW w:w="5000" w:type="pct"/>
            <w:gridSpan w:val="3"/>
            <w:shd w:val="clear" w:color="auto" w:fill="00B050"/>
            <w:tcMar>
              <w:top w:w="57" w:type="dxa"/>
              <w:bottom w:w="57" w:type="dxa"/>
            </w:tcMar>
          </w:tcPr>
          <w:p w14:paraId="4D3C7B03" w14:textId="77777777" w:rsidR="00BC7F1F" w:rsidRPr="00831779" w:rsidRDefault="00BC7F1F" w:rsidP="00BC7F1F">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BC7F1F" w:rsidRPr="00A075A3" w14:paraId="366100B0" w14:textId="77777777" w:rsidTr="00552108">
        <w:tc>
          <w:tcPr>
            <w:tcW w:w="1360" w:type="pct"/>
            <w:gridSpan w:val="2"/>
            <w:shd w:val="clear" w:color="auto" w:fill="auto"/>
            <w:tcMar>
              <w:top w:w="57" w:type="dxa"/>
              <w:bottom w:w="57" w:type="dxa"/>
            </w:tcMar>
          </w:tcPr>
          <w:p w14:paraId="7AE310BF" w14:textId="72A6417F" w:rsidR="00BC7F1F" w:rsidRPr="00A67A4B" w:rsidRDefault="00A67A4B" w:rsidP="00BC7F1F">
            <w:pPr>
              <w:rPr>
                <w:rFonts w:cs="Arial"/>
                <w:szCs w:val="19"/>
              </w:rPr>
            </w:pPr>
            <w:proofErr w:type="spellStart"/>
            <w:r w:rsidRPr="00A67A4B">
              <w:rPr>
                <w:rFonts w:cs="Arial"/>
                <w:szCs w:val="19"/>
              </w:rPr>
              <w:t>Apadamtase</w:t>
            </w:r>
            <w:proofErr w:type="spellEnd"/>
            <w:r w:rsidRPr="00A67A4B">
              <w:rPr>
                <w:rFonts w:cs="Arial"/>
                <w:szCs w:val="19"/>
              </w:rPr>
              <w:t xml:space="preserve"> alfa</w:t>
            </w:r>
            <w:r>
              <w:rPr>
                <w:rFonts w:cs="Arial"/>
                <w:szCs w:val="19"/>
              </w:rPr>
              <w:t xml:space="preserve"> (</w:t>
            </w:r>
            <w:proofErr w:type="spellStart"/>
            <w:r>
              <w:rPr>
                <w:rFonts w:cs="Arial"/>
                <w:i/>
                <w:iCs/>
                <w:szCs w:val="19"/>
              </w:rPr>
              <w:t>Adzynma</w:t>
            </w:r>
            <w:proofErr w:type="spellEnd"/>
            <w:r>
              <w:rPr>
                <w:rFonts w:cs="Arial"/>
                <w:szCs w:val="19"/>
              </w:rPr>
              <w:t>)</w:t>
            </w:r>
          </w:p>
        </w:tc>
        <w:tc>
          <w:tcPr>
            <w:tcW w:w="3640" w:type="pct"/>
            <w:shd w:val="clear" w:color="auto" w:fill="auto"/>
            <w:tcMar>
              <w:top w:w="57" w:type="dxa"/>
              <w:bottom w:w="57" w:type="dxa"/>
            </w:tcMar>
          </w:tcPr>
          <w:p w14:paraId="7406726F" w14:textId="55920AFA" w:rsidR="00BC7F1F" w:rsidRPr="00A075A3" w:rsidRDefault="00945C5A" w:rsidP="00BC7F1F">
            <w:pPr>
              <w:tabs>
                <w:tab w:val="center" w:pos="3152"/>
              </w:tabs>
              <w:rPr>
                <w:rFonts w:cs="Arial"/>
                <w:szCs w:val="19"/>
                <w:lang w:val="en-US"/>
              </w:rPr>
            </w:pPr>
            <w:r>
              <w:rPr>
                <w:rFonts w:cs="Arial"/>
                <w:szCs w:val="19"/>
                <w:lang w:val="en-US"/>
              </w:rPr>
              <w:t>E</w:t>
            </w:r>
            <w:r w:rsidR="00A67A4B" w:rsidRPr="00A67A4B">
              <w:rPr>
                <w:rFonts w:cs="Arial"/>
                <w:szCs w:val="19"/>
                <w:lang w:val="en-US"/>
              </w:rPr>
              <w:t xml:space="preserve">nzyme replacement therapy for the treatment of ADAMTS13 deficiency in children and adults </w:t>
            </w:r>
            <w:r w:rsidR="00A67A4B">
              <w:rPr>
                <w:rFonts w:cs="Arial"/>
                <w:szCs w:val="19"/>
                <w:lang w:val="en-US"/>
              </w:rPr>
              <w:t xml:space="preserve">of all ages </w:t>
            </w:r>
            <w:r w:rsidR="00A67A4B" w:rsidRPr="00A67A4B">
              <w:rPr>
                <w:rFonts w:cs="Arial"/>
                <w:szCs w:val="19"/>
                <w:lang w:val="en-US"/>
              </w:rPr>
              <w:t>with congenital thrombotic thrombocytopenic purpura</w:t>
            </w:r>
            <w:r w:rsidR="00A67A4B">
              <w:rPr>
                <w:rFonts w:cs="Arial"/>
                <w:szCs w:val="19"/>
                <w:lang w:val="en-US"/>
              </w:rPr>
              <w:t xml:space="preserve"> </w:t>
            </w:r>
            <w:r w:rsidR="00A67A4B" w:rsidRPr="00A67A4B">
              <w:rPr>
                <w:rFonts w:cs="Arial"/>
                <w:sz w:val="16"/>
                <w:szCs w:val="16"/>
                <w:lang w:val="en-US"/>
              </w:rPr>
              <w:t>[EU]</w:t>
            </w:r>
          </w:p>
        </w:tc>
      </w:tr>
      <w:tr w:rsidR="00BC7F1F" w:rsidRPr="00A075A3" w14:paraId="444DDC17" w14:textId="77777777" w:rsidTr="00552108">
        <w:tc>
          <w:tcPr>
            <w:tcW w:w="1360" w:type="pct"/>
            <w:gridSpan w:val="2"/>
            <w:shd w:val="clear" w:color="auto" w:fill="auto"/>
            <w:tcMar>
              <w:top w:w="57" w:type="dxa"/>
              <w:bottom w:w="57" w:type="dxa"/>
            </w:tcMar>
          </w:tcPr>
          <w:p w14:paraId="42643D39" w14:textId="2AC9FEF0" w:rsidR="00BC7F1F" w:rsidRPr="00527FC1" w:rsidRDefault="00527FC1" w:rsidP="00BC7F1F">
            <w:pPr>
              <w:rPr>
                <w:rFonts w:cs="Arial"/>
                <w:szCs w:val="19"/>
              </w:rPr>
            </w:pPr>
            <w:r>
              <w:rPr>
                <w:rFonts w:cs="Arial"/>
                <w:szCs w:val="19"/>
              </w:rPr>
              <w:t>Apixaban (</w:t>
            </w:r>
            <w:r>
              <w:rPr>
                <w:rFonts w:cs="Arial"/>
                <w:i/>
                <w:iCs/>
                <w:szCs w:val="19"/>
              </w:rPr>
              <w:t>Eliquis</w:t>
            </w:r>
            <w:r>
              <w:rPr>
                <w:rFonts w:cs="Arial"/>
                <w:szCs w:val="19"/>
              </w:rPr>
              <w:t>)</w:t>
            </w:r>
          </w:p>
        </w:tc>
        <w:tc>
          <w:tcPr>
            <w:tcW w:w="3640" w:type="pct"/>
            <w:shd w:val="clear" w:color="auto" w:fill="auto"/>
            <w:tcMar>
              <w:top w:w="57" w:type="dxa"/>
              <w:bottom w:w="57" w:type="dxa"/>
            </w:tcMar>
          </w:tcPr>
          <w:p w14:paraId="1A8D9305" w14:textId="20E724B9" w:rsidR="00BC7F1F" w:rsidRPr="00527FC1" w:rsidRDefault="00527FC1" w:rsidP="00BC7F1F">
            <w:pPr>
              <w:tabs>
                <w:tab w:val="center" w:pos="3152"/>
              </w:tabs>
              <w:rPr>
                <w:rFonts w:cs="Arial"/>
                <w:szCs w:val="19"/>
                <w:lang w:val="en-US"/>
              </w:rPr>
            </w:pPr>
            <w:r w:rsidRPr="00527FC1">
              <w:rPr>
                <w:rFonts w:cs="Arial"/>
                <w:szCs w:val="19"/>
                <w:lang w:val="en-US"/>
              </w:rPr>
              <w:t xml:space="preserve">Treatment of venous thromboembolism (VTE) and prevention of recurrent VTE in paediatric patients from 28 days to </w:t>
            </w:r>
            <w:r>
              <w:rPr>
                <w:rFonts w:cs="Arial"/>
                <w:szCs w:val="19"/>
                <w:lang w:val="en-US"/>
              </w:rPr>
              <w:t>&lt;</w:t>
            </w:r>
            <w:r w:rsidRPr="00527FC1">
              <w:rPr>
                <w:rFonts w:cs="Arial"/>
                <w:szCs w:val="19"/>
                <w:lang w:val="en-US"/>
              </w:rPr>
              <w:t>18 years of age</w:t>
            </w:r>
            <w:r>
              <w:rPr>
                <w:rFonts w:cs="Arial"/>
                <w:szCs w:val="19"/>
                <w:lang w:val="en-US"/>
              </w:rPr>
              <w:t xml:space="preserve"> </w:t>
            </w:r>
            <w:r w:rsidRPr="00527FC1">
              <w:rPr>
                <w:rFonts w:cs="Arial"/>
                <w:sz w:val="16"/>
                <w:szCs w:val="16"/>
                <w:lang w:val="en-US"/>
              </w:rPr>
              <w:t>[EU] [new indication and new 0.15mg granules in capsules for opening, and 0.5, 1.5 and 2mg coated granules in sachet formulations]</w:t>
            </w:r>
          </w:p>
        </w:tc>
      </w:tr>
      <w:tr w:rsidR="00527FC1" w14:paraId="3D359C02" w14:textId="77777777" w:rsidTr="00552108">
        <w:tc>
          <w:tcPr>
            <w:tcW w:w="1360" w:type="pct"/>
            <w:gridSpan w:val="2"/>
            <w:shd w:val="clear" w:color="auto" w:fill="auto"/>
            <w:tcMar>
              <w:top w:w="57" w:type="dxa"/>
              <w:bottom w:w="57" w:type="dxa"/>
            </w:tcMar>
          </w:tcPr>
          <w:p w14:paraId="7A013DD0" w14:textId="19B48683" w:rsidR="00527FC1" w:rsidRPr="00D1051C" w:rsidRDefault="00527FC1" w:rsidP="00527FC1">
            <w:pPr>
              <w:rPr>
                <w:rFonts w:cs="Arial"/>
                <w:szCs w:val="19"/>
              </w:rPr>
            </w:pPr>
            <w:r>
              <w:rPr>
                <w:rFonts w:cs="Arial"/>
                <w:szCs w:val="19"/>
              </w:rPr>
              <w:t>Bevacizumab biosimilar (</w:t>
            </w:r>
            <w:proofErr w:type="spellStart"/>
            <w:r w:rsidRPr="00B04214">
              <w:rPr>
                <w:rFonts w:cs="Arial"/>
                <w:i/>
                <w:iCs/>
                <w:szCs w:val="19"/>
              </w:rPr>
              <w:t>Avzivi</w:t>
            </w:r>
            <w:proofErr w:type="spellEnd"/>
            <w:r>
              <w:rPr>
                <w:rFonts w:cs="Arial"/>
                <w:szCs w:val="19"/>
              </w:rPr>
              <w:t>)</w:t>
            </w:r>
          </w:p>
        </w:tc>
        <w:tc>
          <w:tcPr>
            <w:tcW w:w="3640" w:type="pct"/>
            <w:shd w:val="clear" w:color="auto" w:fill="auto"/>
            <w:tcMar>
              <w:top w:w="57" w:type="dxa"/>
              <w:bottom w:w="57" w:type="dxa"/>
            </w:tcMar>
          </w:tcPr>
          <w:p w14:paraId="1CAD3E24" w14:textId="3D990072" w:rsidR="00527FC1" w:rsidRPr="00D1051C" w:rsidRDefault="00527FC1" w:rsidP="00527FC1">
            <w:pPr>
              <w:tabs>
                <w:tab w:val="center" w:pos="3152"/>
              </w:tabs>
              <w:rPr>
                <w:rFonts w:cs="Arial"/>
                <w:szCs w:val="19"/>
                <w:lang w:val="en-US"/>
              </w:rPr>
            </w:pPr>
            <w:r w:rsidRPr="00B04214">
              <w:rPr>
                <w:rFonts w:cs="Arial"/>
                <w:szCs w:val="19"/>
                <w:lang w:val="en-US"/>
              </w:rPr>
              <w:t>Treatment of adults with metastatic carcinoma of the colon or rectum, metastatic breast cancer, epithelial ovarian, fallopian tube or primary peritoneal cancer, unresectable advanced, metastatic or recurrent non-small cell lung cancer, advanced and/or metastatic renal cell cancer, and persistent, recurrent, or metastatic carcinoma of the cervix</w:t>
            </w:r>
            <w:r>
              <w:rPr>
                <w:rFonts w:cs="Arial"/>
                <w:szCs w:val="19"/>
                <w:lang w:val="en-US"/>
              </w:rPr>
              <w:t xml:space="preserve"> </w:t>
            </w:r>
            <w:r w:rsidRPr="00B04214">
              <w:rPr>
                <w:rFonts w:cs="Arial"/>
                <w:sz w:val="16"/>
                <w:szCs w:val="16"/>
                <w:lang w:val="en-US"/>
              </w:rPr>
              <w:t xml:space="preserve">[EU] </w:t>
            </w:r>
            <w:r w:rsidRPr="00B04214">
              <w:rPr>
                <w:rFonts w:cs="Arial"/>
                <w:i/>
                <w:iCs/>
                <w:sz w:val="16"/>
                <w:szCs w:val="16"/>
                <w:lang w:val="en-US"/>
              </w:rPr>
              <w:t xml:space="preserve">Note: </w:t>
            </w:r>
            <w:r>
              <w:rPr>
                <w:rFonts w:cs="Arial"/>
                <w:i/>
                <w:iCs/>
                <w:color w:val="000000" w:themeColor="text1"/>
                <w:sz w:val="16"/>
                <w:szCs w:val="16"/>
                <w:lang w:val="en-US"/>
              </w:rPr>
              <w:t>W</w:t>
            </w:r>
            <w:r w:rsidRPr="000577CB">
              <w:rPr>
                <w:rFonts w:cs="Arial"/>
                <w:i/>
                <w:iCs/>
                <w:color w:val="000000" w:themeColor="text1"/>
                <w:sz w:val="16"/>
                <w:szCs w:val="16"/>
                <w:lang w:val="en-US"/>
              </w:rPr>
              <w:t>e have shortened the wording of this indication to save space</w:t>
            </w:r>
          </w:p>
        </w:tc>
      </w:tr>
      <w:tr w:rsidR="00E7626E" w14:paraId="6D249BC1" w14:textId="77777777" w:rsidTr="00552108">
        <w:tc>
          <w:tcPr>
            <w:tcW w:w="1360" w:type="pct"/>
            <w:gridSpan w:val="2"/>
            <w:shd w:val="clear" w:color="auto" w:fill="auto"/>
            <w:tcMar>
              <w:top w:w="57" w:type="dxa"/>
              <w:bottom w:w="57" w:type="dxa"/>
            </w:tcMar>
          </w:tcPr>
          <w:p w14:paraId="5CAEE430" w14:textId="5C51CF90" w:rsidR="00E7626E" w:rsidRPr="00E7626E" w:rsidRDefault="00E7626E" w:rsidP="00527FC1">
            <w:pPr>
              <w:rPr>
                <w:rFonts w:cs="Arial"/>
                <w:szCs w:val="19"/>
              </w:rPr>
            </w:pPr>
            <w:r>
              <w:rPr>
                <w:rFonts w:cs="Arial"/>
                <w:szCs w:val="19"/>
              </w:rPr>
              <w:t>Budesonide (</w:t>
            </w:r>
            <w:proofErr w:type="spellStart"/>
            <w:r>
              <w:rPr>
                <w:rFonts w:cs="Arial"/>
                <w:i/>
                <w:iCs/>
                <w:szCs w:val="19"/>
              </w:rPr>
              <w:t>Kinpeygo</w:t>
            </w:r>
            <w:proofErr w:type="spellEnd"/>
            <w:r>
              <w:rPr>
                <w:rFonts w:cs="Arial"/>
                <w:szCs w:val="19"/>
              </w:rPr>
              <w:t>)</w:t>
            </w:r>
          </w:p>
        </w:tc>
        <w:tc>
          <w:tcPr>
            <w:tcW w:w="3640" w:type="pct"/>
            <w:shd w:val="clear" w:color="auto" w:fill="auto"/>
            <w:tcMar>
              <w:top w:w="57" w:type="dxa"/>
              <w:bottom w:w="57" w:type="dxa"/>
            </w:tcMar>
          </w:tcPr>
          <w:p w14:paraId="28EAE74F" w14:textId="1CD7DD8D" w:rsidR="00E7626E" w:rsidRDefault="00E7626E" w:rsidP="00527FC1">
            <w:pPr>
              <w:tabs>
                <w:tab w:val="center" w:pos="3152"/>
              </w:tabs>
              <w:rPr>
                <w:rFonts w:cs="Arial"/>
                <w:sz w:val="16"/>
                <w:szCs w:val="16"/>
                <w:lang w:val="en-US"/>
              </w:rPr>
            </w:pPr>
            <w:r w:rsidRPr="00E7626E">
              <w:rPr>
                <w:rFonts w:cs="Arial"/>
                <w:szCs w:val="19"/>
                <w:lang w:val="en-US"/>
              </w:rPr>
              <w:t xml:space="preserve">Treatment of adults with primary immunoglobulin A nephropathy with a urine protein excretion ≥1.0g/day (or urine protein-to-creatinine </w:t>
            </w:r>
            <w:r>
              <w:rPr>
                <w:rFonts w:cs="Arial"/>
                <w:szCs w:val="19"/>
                <w:lang w:val="en-US"/>
              </w:rPr>
              <w:t xml:space="preserve">[UPCR] </w:t>
            </w:r>
            <w:r w:rsidRPr="00E7626E">
              <w:rPr>
                <w:rFonts w:cs="Arial"/>
                <w:szCs w:val="19"/>
                <w:lang w:val="en-US"/>
              </w:rPr>
              <w:t>ratio ≥0.8g/g)</w:t>
            </w:r>
            <w:r>
              <w:rPr>
                <w:rFonts w:cs="Arial"/>
                <w:szCs w:val="19"/>
                <w:lang w:val="en-US"/>
              </w:rPr>
              <w:t xml:space="preserve"> </w:t>
            </w:r>
            <w:r w:rsidRPr="00E7626E">
              <w:rPr>
                <w:rFonts w:cs="Arial"/>
                <w:sz w:val="16"/>
                <w:szCs w:val="16"/>
                <w:lang w:val="en-US"/>
              </w:rPr>
              <w:t xml:space="preserve">[EU] </w:t>
            </w:r>
          </w:p>
          <w:p w14:paraId="3C74EFE9" w14:textId="2142B665" w:rsidR="00E7626E" w:rsidRPr="00E7626E" w:rsidRDefault="00E7626E" w:rsidP="00527FC1">
            <w:pPr>
              <w:tabs>
                <w:tab w:val="center" w:pos="3152"/>
              </w:tabs>
              <w:rPr>
                <w:rFonts w:cs="Arial"/>
                <w:sz w:val="16"/>
                <w:szCs w:val="16"/>
                <w:lang w:val="en-US"/>
              </w:rPr>
            </w:pPr>
            <w:r w:rsidRPr="00E7626E">
              <w:rPr>
                <w:rFonts w:cs="Arial"/>
                <w:sz w:val="16"/>
                <w:szCs w:val="16"/>
                <w:lang w:val="en-US"/>
              </w:rPr>
              <w:t xml:space="preserve">[licence change from use only in </w:t>
            </w:r>
            <w:r>
              <w:rPr>
                <w:rFonts w:cs="Arial"/>
                <w:sz w:val="16"/>
                <w:szCs w:val="16"/>
                <w:lang w:val="en-US"/>
              </w:rPr>
              <w:t xml:space="preserve">adults </w:t>
            </w:r>
            <w:r w:rsidRPr="00E7626E">
              <w:rPr>
                <w:rFonts w:cs="Arial"/>
                <w:sz w:val="16"/>
                <w:szCs w:val="16"/>
                <w:lang w:val="en-US"/>
              </w:rPr>
              <w:t>at risk for rapid disease progression with UPCR ≥1.5g/g]</w:t>
            </w:r>
          </w:p>
        </w:tc>
      </w:tr>
      <w:tr w:rsidR="00527FC1" w:rsidRPr="000F19E1" w14:paraId="1E3B67E6" w14:textId="77777777" w:rsidTr="00552108">
        <w:tc>
          <w:tcPr>
            <w:tcW w:w="1360" w:type="pct"/>
            <w:gridSpan w:val="2"/>
            <w:shd w:val="clear" w:color="auto" w:fill="auto"/>
            <w:tcMar>
              <w:top w:w="0" w:type="dxa"/>
              <w:bottom w:w="0" w:type="dxa"/>
            </w:tcMar>
          </w:tcPr>
          <w:p w14:paraId="1D06E693" w14:textId="77777777" w:rsidR="00527FC1" w:rsidRPr="000F19E1" w:rsidRDefault="00527FC1" w:rsidP="00527FC1">
            <w:pPr>
              <w:rPr>
                <w:rFonts w:cs="Arial"/>
                <w:bCs/>
                <w:sz w:val="8"/>
                <w:szCs w:val="8"/>
              </w:rPr>
            </w:pPr>
          </w:p>
        </w:tc>
        <w:tc>
          <w:tcPr>
            <w:tcW w:w="3640" w:type="pct"/>
            <w:shd w:val="clear" w:color="auto" w:fill="auto"/>
            <w:tcMar>
              <w:top w:w="0" w:type="dxa"/>
              <w:bottom w:w="0" w:type="dxa"/>
            </w:tcMar>
          </w:tcPr>
          <w:p w14:paraId="2CC860EE" w14:textId="77777777" w:rsidR="00527FC1" w:rsidRPr="000F19E1" w:rsidRDefault="00527FC1" w:rsidP="00527FC1">
            <w:pPr>
              <w:tabs>
                <w:tab w:val="center" w:pos="3152"/>
              </w:tabs>
              <w:rPr>
                <w:rFonts w:cs="Arial"/>
                <w:sz w:val="8"/>
                <w:szCs w:val="8"/>
                <w:lang w:val="en-US"/>
              </w:rPr>
            </w:pPr>
          </w:p>
        </w:tc>
      </w:tr>
      <w:tr w:rsidR="00527FC1" w:rsidRPr="000F19E1" w14:paraId="397862D6" w14:textId="77777777" w:rsidTr="00D6452A">
        <w:tc>
          <w:tcPr>
            <w:tcW w:w="1152" w:type="pct"/>
            <w:shd w:val="clear" w:color="auto" w:fill="DAEEF3"/>
            <w:tcMar>
              <w:top w:w="0" w:type="dxa"/>
              <w:bottom w:w="0" w:type="dxa"/>
            </w:tcMar>
          </w:tcPr>
          <w:p w14:paraId="680DA96F" w14:textId="77777777" w:rsidR="00527FC1" w:rsidRPr="000F19E1" w:rsidRDefault="00527FC1" w:rsidP="00527FC1">
            <w:pPr>
              <w:rPr>
                <w:rFonts w:cs="Arial"/>
                <w:bCs/>
                <w:sz w:val="8"/>
                <w:szCs w:val="8"/>
              </w:rPr>
            </w:pPr>
          </w:p>
        </w:tc>
        <w:tc>
          <w:tcPr>
            <w:tcW w:w="3848" w:type="pct"/>
            <w:gridSpan w:val="2"/>
            <w:shd w:val="clear" w:color="auto" w:fill="DAEEF3"/>
            <w:tcMar>
              <w:top w:w="0" w:type="dxa"/>
              <w:bottom w:w="0" w:type="dxa"/>
            </w:tcMar>
          </w:tcPr>
          <w:p w14:paraId="6F2A0115" w14:textId="77777777" w:rsidR="00527FC1" w:rsidRPr="000F19E1" w:rsidRDefault="00527FC1" w:rsidP="00527FC1">
            <w:pPr>
              <w:tabs>
                <w:tab w:val="center" w:pos="3152"/>
              </w:tabs>
              <w:rPr>
                <w:rFonts w:cs="Arial"/>
                <w:sz w:val="8"/>
                <w:szCs w:val="8"/>
                <w:lang w:val="en-US"/>
              </w:rPr>
            </w:pPr>
          </w:p>
        </w:tc>
      </w:tr>
    </w:tbl>
    <w:p w14:paraId="5A748E46" w14:textId="77777777" w:rsidR="0048777D" w:rsidRDefault="0048777D"/>
    <w:p w14:paraId="567277E7" w14:textId="77777777" w:rsidR="00B04214" w:rsidRDefault="00B04214"/>
    <w:p w14:paraId="07404E31" w14:textId="77777777" w:rsidR="00C70D7B" w:rsidRDefault="00C70D7B"/>
    <w:p w14:paraId="4AC3B38E" w14:textId="77777777" w:rsidR="00C70D7B" w:rsidRDefault="00C70D7B"/>
    <w:p w14:paraId="0C398CA4" w14:textId="77777777" w:rsidR="005B1418" w:rsidRDefault="005B1418"/>
    <w:tbl>
      <w:tblPr>
        <w:tblW w:w="5170" w:type="pct"/>
        <w:tblInd w:w="-176" w:type="dxa"/>
        <w:tblLayout w:type="fixed"/>
        <w:tblLook w:val="01E0" w:firstRow="1" w:lastRow="1" w:firstColumn="1" w:lastColumn="1" w:noHBand="0" w:noVBand="0"/>
      </w:tblPr>
      <w:tblGrid>
        <w:gridCol w:w="2431"/>
        <w:gridCol w:w="13"/>
        <w:gridCol w:w="8107"/>
      </w:tblGrid>
      <w:tr w:rsidR="0021490D" w:rsidRPr="00862949" w14:paraId="5135E725" w14:textId="77777777" w:rsidTr="00D6452A">
        <w:tc>
          <w:tcPr>
            <w:tcW w:w="5000" w:type="pct"/>
            <w:gridSpan w:val="3"/>
            <w:shd w:val="clear" w:color="auto" w:fill="0070C0"/>
            <w:tcMar>
              <w:top w:w="85" w:type="dxa"/>
              <w:bottom w:w="85" w:type="dxa"/>
            </w:tcMar>
            <w:vAlign w:val="bottom"/>
          </w:tcPr>
          <w:p w14:paraId="37339708" w14:textId="77777777" w:rsidR="0021490D" w:rsidRPr="00862949" w:rsidRDefault="0021490D" w:rsidP="00D6452A">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1C3A55" w:rsidRPr="000F19E1" w14:paraId="655278B5" w14:textId="77777777" w:rsidTr="00155BD9">
        <w:tc>
          <w:tcPr>
            <w:tcW w:w="1152" w:type="pct"/>
            <w:shd w:val="clear" w:color="auto" w:fill="DAEEF3"/>
            <w:tcMar>
              <w:top w:w="0" w:type="dxa"/>
              <w:bottom w:w="0" w:type="dxa"/>
            </w:tcMar>
          </w:tcPr>
          <w:p w14:paraId="1BF15D18" w14:textId="77777777" w:rsidR="001C3A55" w:rsidRPr="000F19E1" w:rsidRDefault="001C3A55" w:rsidP="00510003">
            <w:pPr>
              <w:rPr>
                <w:rFonts w:cs="Arial"/>
                <w:bCs/>
                <w:sz w:val="8"/>
                <w:szCs w:val="8"/>
              </w:rPr>
            </w:pPr>
          </w:p>
        </w:tc>
        <w:tc>
          <w:tcPr>
            <w:tcW w:w="3848" w:type="pct"/>
            <w:gridSpan w:val="2"/>
            <w:shd w:val="clear" w:color="auto" w:fill="DAEEF3"/>
            <w:tcMar>
              <w:top w:w="0" w:type="dxa"/>
              <w:bottom w:w="0" w:type="dxa"/>
            </w:tcMar>
          </w:tcPr>
          <w:p w14:paraId="158D35B7" w14:textId="77777777" w:rsidR="001C3A55" w:rsidRPr="000F19E1" w:rsidRDefault="001C3A55" w:rsidP="00510003">
            <w:pPr>
              <w:tabs>
                <w:tab w:val="center" w:pos="3152"/>
              </w:tabs>
              <w:rPr>
                <w:rFonts w:cs="Arial"/>
                <w:sz w:val="8"/>
                <w:szCs w:val="8"/>
                <w:lang w:val="en-US"/>
              </w:rPr>
            </w:pPr>
          </w:p>
        </w:tc>
      </w:tr>
      <w:tr w:rsidR="001C3A55" w:rsidRPr="00433D3E" w14:paraId="6213AD93" w14:textId="77777777" w:rsidTr="00155BD9">
        <w:tc>
          <w:tcPr>
            <w:tcW w:w="5000" w:type="pct"/>
            <w:gridSpan w:val="3"/>
            <w:shd w:val="clear" w:color="auto" w:fill="00B050"/>
            <w:tcMar>
              <w:top w:w="57" w:type="dxa"/>
              <w:bottom w:w="57" w:type="dxa"/>
            </w:tcMar>
          </w:tcPr>
          <w:p w14:paraId="27ED9FAE" w14:textId="77777777" w:rsidR="001C3A55" w:rsidRPr="0021490D" w:rsidRDefault="001C3A55" w:rsidP="00B94311">
            <w:pPr>
              <w:rPr>
                <w:rFonts w:cs="Arial"/>
                <w:noProof/>
                <w:color w:val="FFFFFF"/>
                <w:sz w:val="16"/>
                <w:szCs w:val="16"/>
              </w:rPr>
            </w:pPr>
            <w:r>
              <w:rPr>
                <w:rFonts w:cs="Arial"/>
                <w:b/>
                <w:bCs/>
                <w:i/>
                <w:iCs/>
                <w:color w:val="FFFFFF"/>
                <w:sz w:val="22"/>
                <w:szCs w:val="20"/>
                <w:lang w:val="en-US"/>
              </w:rPr>
              <w:t xml:space="preserve">Recommended for approval in </w:t>
            </w:r>
            <w:r w:rsidRPr="00433D3E">
              <w:rPr>
                <w:rFonts w:cs="Arial"/>
                <w:b/>
                <w:bCs/>
                <w:i/>
                <w:iCs/>
                <w:color w:val="FFFFFF"/>
                <w:sz w:val="22"/>
                <w:szCs w:val="20"/>
                <w:lang w:val="en-US"/>
              </w:rPr>
              <w:t xml:space="preserve">the </w:t>
            </w:r>
            <w:r w:rsidR="0048777D">
              <w:rPr>
                <w:rFonts w:cs="Arial"/>
                <w:b/>
                <w:bCs/>
                <w:i/>
                <w:iCs/>
                <w:color w:val="FFFFFF"/>
                <w:sz w:val="22"/>
                <w:szCs w:val="20"/>
                <w:lang w:val="en-US"/>
              </w:rPr>
              <w:t>UK</w:t>
            </w:r>
            <w:r w:rsidR="00B94311">
              <w:rPr>
                <w:rFonts w:cs="Arial"/>
                <w:b/>
                <w:bCs/>
                <w:i/>
                <w:iCs/>
                <w:color w:val="FFFFFF"/>
                <w:sz w:val="22"/>
                <w:szCs w:val="20"/>
                <w:lang w:val="en-US"/>
              </w:rPr>
              <w:t xml:space="preserve"> or </w:t>
            </w:r>
            <w:r w:rsidRPr="00433D3E">
              <w:rPr>
                <w:rFonts w:cs="Arial"/>
                <w:b/>
                <w:bCs/>
                <w:i/>
                <w:iCs/>
                <w:color w:val="FFFFFF"/>
                <w:sz w:val="22"/>
                <w:szCs w:val="20"/>
                <w:lang w:val="en-US"/>
              </w:rPr>
              <w:t>EU</w:t>
            </w:r>
            <w:r w:rsidR="0021490D">
              <w:rPr>
                <w:rFonts w:cs="Arial"/>
                <w:b/>
                <w:bCs/>
                <w:i/>
                <w:iCs/>
                <w:color w:val="FFFFFF"/>
                <w:sz w:val="22"/>
                <w:szCs w:val="20"/>
                <w:lang w:val="en-US"/>
              </w:rPr>
              <w:t xml:space="preserve"> </w:t>
            </w:r>
            <w:r w:rsidR="0021490D" w:rsidRPr="0021490D">
              <w:rPr>
                <w:rFonts w:cs="Arial"/>
                <w:b/>
                <w:bCs/>
                <w:color w:val="FFFFFF"/>
                <w:sz w:val="16"/>
                <w:szCs w:val="14"/>
                <w:lang w:val="en-US"/>
              </w:rPr>
              <w:t>(continued)</w:t>
            </w:r>
          </w:p>
        </w:tc>
      </w:tr>
      <w:tr w:rsidR="00E7626E" w:rsidRPr="00A075A3" w14:paraId="25CD7F3B" w14:textId="77777777" w:rsidTr="0038507C">
        <w:tc>
          <w:tcPr>
            <w:tcW w:w="1158" w:type="pct"/>
            <w:gridSpan w:val="2"/>
            <w:shd w:val="clear" w:color="auto" w:fill="auto"/>
            <w:tcMar>
              <w:top w:w="57" w:type="dxa"/>
              <w:bottom w:w="57" w:type="dxa"/>
            </w:tcMar>
          </w:tcPr>
          <w:p w14:paraId="0DF0E38D" w14:textId="6EFD6312" w:rsidR="00E7626E" w:rsidRDefault="00E7626E" w:rsidP="00E7626E">
            <w:pPr>
              <w:rPr>
                <w:rFonts w:cs="Arial"/>
                <w:szCs w:val="19"/>
              </w:rPr>
            </w:pPr>
            <w:r>
              <w:rPr>
                <w:rFonts w:cs="Arial"/>
                <w:szCs w:val="19"/>
              </w:rPr>
              <w:t>Chikunguny</w:t>
            </w:r>
            <w:r w:rsidRPr="00D1051C">
              <w:rPr>
                <w:rFonts w:cs="Arial"/>
                <w:szCs w:val="19"/>
              </w:rPr>
              <w:t>a vaccine</w:t>
            </w:r>
            <w:r>
              <w:rPr>
                <w:rFonts w:cs="Arial"/>
                <w:szCs w:val="19"/>
              </w:rPr>
              <w:t xml:space="preserve"> (</w:t>
            </w:r>
            <w:proofErr w:type="spellStart"/>
            <w:r>
              <w:rPr>
                <w:rFonts w:cs="Arial"/>
                <w:i/>
                <w:iCs/>
                <w:szCs w:val="19"/>
              </w:rPr>
              <w:t>Ixchiq</w:t>
            </w:r>
            <w:proofErr w:type="spellEnd"/>
            <w:r>
              <w:rPr>
                <w:rFonts w:cs="Arial"/>
                <w:szCs w:val="19"/>
              </w:rPr>
              <w:t>)</w:t>
            </w:r>
          </w:p>
        </w:tc>
        <w:tc>
          <w:tcPr>
            <w:tcW w:w="3842" w:type="pct"/>
            <w:shd w:val="clear" w:color="auto" w:fill="auto"/>
            <w:tcMar>
              <w:top w:w="57" w:type="dxa"/>
              <w:bottom w:w="57" w:type="dxa"/>
            </w:tcMar>
          </w:tcPr>
          <w:p w14:paraId="6D5660D3" w14:textId="09CEA3E7" w:rsidR="00E7626E" w:rsidRPr="00A92753" w:rsidRDefault="00E7626E" w:rsidP="00E7626E">
            <w:pPr>
              <w:tabs>
                <w:tab w:val="center" w:pos="3152"/>
              </w:tabs>
              <w:rPr>
                <w:rFonts w:cs="Arial"/>
                <w:szCs w:val="19"/>
                <w:lang w:val="en-US"/>
              </w:rPr>
            </w:pPr>
            <w:r w:rsidRPr="00D1051C">
              <w:rPr>
                <w:rFonts w:cs="Arial"/>
                <w:szCs w:val="19"/>
                <w:lang w:val="en-US"/>
              </w:rPr>
              <w:t xml:space="preserve">Active immunisation for the prevention of disease caused by chikungunya virus in individuals </w:t>
            </w:r>
            <w:r>
              <w:rPr>
                <w:rFonts w:cs="Arial"/>
                <w:szCs w:val="19"/>
                <w:lang w:val="en-US"/>
              </w:rPr>
              <w:t>aged ≥</w:t>
            </w:r>
            <w:r w:rsidRPr="00D1051C">
              <w:rPr>
                <w:rFonts w:cs="Arial"/>
                <w:szCs w:val="19"/>
                <w:lang w:val="en-US"/>
              </w:rPr>
              <w:t>18 years</w:t>
            </w:r>
            <w:r>
              <w:rPr>
                <w:rFonts w:cs="Arial"/>
                <w:szCs w:val="19"/>
                <w:lang w:val="en-US"/>
              </w:rPr>
              <w:t xml:space="preserve"> </w:t>
            </w:r>
            <w:r w:rsidRPr="00D1051C">
              <w:rPr>
                <w:rFonts w:cs="Arial"/>
                <w:sz w:val="16"/>
                <w:szCs w:val="16"/>
                <w:lang w:val="en-US"/>
              </w:rPr>
              <w:t>[EU]</w:t>
            </w:r>
          </w:p>
        </w:tc>
      </w:tr>
      <w:tr w:rsidR="00E7626E" w:rsidRPr="00A075A3" w14:paraId="2D64AFDF" w14:textId="77777777" w:rsidTr="0038507C">
        <w:tc>
          <w:tcPr>
            <w:tcW w:w="1158" w:type="pct"/>
            <w:gridSpan w:val="2"/>
            <w:shd w:val="clear" w:color="auto" w:fill="auto"/>
            <w:tcMar>
              <w:top w:w="57" w:type="dxa"/>
              <w:bottom w:w="57" w:type="dxa"/>
            </w:tcMar>
          </w:tcPr>
          <w:p w14:paraId="33033C5F" w14:textId="687D392C" w:rsidR="00E7626E" w:rsidRDefault="00E7626E" w:rsidP="00E7626E">
            <w:pPr>
              <w:rPr>
                <w:rFonts w:cs="Arial"/>
                <w:szCs w:val="19"/>
              </w:rPr>
            </w:pPr>
            <w:proofErr w:type="spellStart"/>
            <w:r>
              <w:rPr>
                <w:rFonts w:cs="Arial"/>
                <w:szCs w:val="19"/>
              </w:rPr>
              <w:t>Dasiglucagon</w:t>
            </w:r>
            <w:proofErr w:type="spellEnd"/>
            <w:r>
              <w:rPr>
                <w:rFonts w:cs="Arial"/>
                <w:szCs w:val="19"/>
              </w:rPr>
              <w:t xml:space="preserve"> (</w:t>
            </w:r>
            <w:proofErr w:type="spellStart"/>
            <w:r w:rsidRPr="00A92753">
              <w:rPr>
                <w:rFonts w:cs="Arial"/>
                <w:i/>
                <w:iCs/>
                <w:szCs w:val="19"/>
              </w:rPr>
              <w:t>Zegalogue</w:t>
            </w:r>
            <w:proofErr w:type="spellEnd"/>
            <w:r>
              <w:rPr>
                <w:rFonts w:cs="Arial"/>
                <w:szCs w:val="19"/>
              </w:rPr>
              <w:t>)</w:t>
            </w:r>
          </w:p>
        </w:tc>
        <w:tc>
          <w:tcPr>
            <w:tcW w:w="3842" w:type="pct"/>
            <w:shd w:val="clear" w:color="auto" w:fill="auto"/>
            <w:tcMar>
              <w:top w:w="57" w:type="dxa"/>
              <w:bottom w:w="57" w:type="dxa"/>
            </w:tcMar>
          </w:tcPr>
          <w:p w14:paraId="1E2FDE02" w14:textId="27074C5D" w:rsidR="00E7626E" w:rsidRDefault="00E7626E" w:rsidP="00E7626E">
            <w:pPr>
              <w:tabs>
                <w:tab w:val="center" w:pos="3152"/>
              </w:tabs>
              <w:rPr>
                <w:rFonts w:cs="Arial"/>
                <w:szCs w:val="19"/>
                <w:lang w:val="en-US"/>
              </w:rPr>
            </w:pPr>
            <w:r w:rsidRPr="00A92753">
              <w:rPr>
                <w:rFonts w:cs="Arial"/>
                <w:szCs w:val="19"/>
                <w:lang w:val="en-US"/>
              </w:rPr>
              <w:t xml:space="preserve">Treatment of severe </w:t>
            </w:r>
            <w:proofErr w:type="spellStart"/>
            <w:r w:rsidRPr="00A92753">
              <w:rPr>
                <w:rFonts w:cs="Arial"/>
                <w:szCs w:val="19"/>
                <w:lang w:val="en-US"/>
              </w:rPr>
              <w:t>hypoglycaemia</w:t>
            </w:r>
            <w:proofErr w:type="spellEnd"/>
            <w:r w:rsidRPr="00A92753">
              <w:rPr>
                <w:rFonts w:cs="Arial"/>
                <w:szCs w:val="19"/>
                <w:lang w:val="en-US"/>
              </w:rPr>
              <w:t xml:space="preserve"> in adults, adolescents, and children aged </w:t>
            </w:r>
            <w:r>
              <w:rPr>
                <w:rFonts w:cs="Arial"/>
                <w:szCs w:val="19"/>
                <w:lang w:val="en-US"/>
              </w:rPr>
              <w:t>≥</w:t>
            </w:r>
            <w:r w:rsidRPr="00A92753">
              <w:rPr>
                <w:rFonts w:cs="Arial"/>
                <w:szCs w:val="19"/>
                <w:lang w:val="en-US"/>
              </w:rPr>
              <w:t>6 years</w:t>
            </w:r>
            <w:r>
              <w:rPr>
                <w:rFonts w:cs="Arial"/>
                <w:szCs w:val="19"/>
                <w:lang w:val="en-US"/>
              </w:rPr>
              <w:t xml:space="preserve"> </w:t>
            </w:r>
            <w:r w:rsidRPr="00A92753">
              <w:rPr>
                <w:rFonts w:cs="Arial"/>
                <w:szCs w:val="19"/>
                <w:lang w:val="en-US"/>
              </w:rPr>
              <w:t>with diabetes mellitus</w:t>
            </w:r>
            <w:r>
              <w:rPr>
                <w:rFonts w:cs="Arial"/>
                <w:szCs w:val="19"/>
                <w:lang w:val="en-US"/>
              </w:rPr>
              <w:t xml:space="preserve"> </w:t>
            </w:r>
            <w:r w:rsidRPr="00D1051C">
              <w:rPr>
                <w:rFonts w:cs="Arial"/>
                <w:sz w:val="16"/>
                <w:szCs w:val="16"/>
                <w:lang w:val="en-US"/>
              </w:rPr>
              <w:t>[EU]</w:t>
            </w:r>
          </w:p>
        </w:tc>
      </w:tr>
      <w:tr w:rsidR="00E7626E" w:rsidRPr="00A075A3" w14:paraId="6BFA7D29" w14:textId="77777777" w:rsidTr="0038507C">
        <w:tc>
          <w:tcPr>
            <w:tcW w:w="1158" w:type="pct"/>
            <w:gridSpan w:val="2"/>
            <w:shd w:val="clear" w:color="auto" w:fill="auto"/>
            <w:tcMar>
              <w:top w:w="57" w:type="dxa"/>
              <w:bottom w:w="57" w:type="dxa"/>
            </w:tcMar>
          </w:tcPr>
          <w:p w14:paraId="27F6D8AA" w14:textId="4F29EA65" w:rsidR="00E7626E" w:rsidRPr="00527FC1" w:rsidRDefault="00E7626E" w:rsidP="00E7626E">
            <w:pPr>
              <w:rPr>
                <w:rFonts w:cs="Arial"/>
                <w:szCs w:val="19"/>
              </w:rPr>
            </w:pPr>
            <w:r>
              <w:rPr>
                <w:rFonts w:cs="Arial"/>
                <w:szCs w:val="19"/>
              </w:rPr>
              <w:t>Dupilumab (</w:t>
            </w:r>
            <w:r>
              <w:rPr>
                <w:rFonts w:cs="Arial"/>
                <w:i/>
                <w:iCs/>
                <w:szCs w:val="19"/>
              </w:rPr>
              <w:t>Dupixent</w:t>
            </w:r>
            <w:r>
              <w:rPr>
                <w:rFonts w:cs="Arial"/>
                <w:szCs w:val="19"/>
              </w:rPr>
              <w:t>)</w:t>
            </w:r>
          </w:p>
        </w:tc>
        <w:tc>
          <w:tcPr>
            <w:tcW w:w="3842" w:type="pct"/>
            <w:shd w:val="clear" w:color="auto" w:fill="auto"/>
            <w:tcMar>
              <w:top w:w="57" w:type="dxa"/>
              <w:bottom w:w="57" w:type="dxa"/>
            </w:tcMar>
          </w:tcPr>
          <w:p w14:paraId="43E2B9B0" w14:textId="7C61E04A" w:rsidR="00E7626E" w:rsidRPr="00A075A3" w:rsidRDefault="00E7626E" w:rsidP="00E7626E">
            <w:pPr>
              <w:tabs>
                <w:tab w:val="center" w:pos="3152"/>
              </w:tabs>
              <w:rPr>
                <w:rFonts w:cs="Arial"/>
                <w:szCs w:val="19"/>
                <w:lang w:val="en-US"/>
              </w:rPr>
            </w:pPr>
            <w:r>
              <w:rPr>
                <w:rFonts w:cs="Arial"/>
                <w:szCs w:val="19"/>
                <w:lang w:val="en-US"/>
              </w:rPr>
              <w:t xml:space="preserve">Use </w:t>
            </w:r>
            <w:r w:rsidRPr="00527FC1">
              <w:rPr>
                <w:rFonts w:cs="Arial"/>
                <w:szCs w:val="19"/>
                <w:lang w:val="en-US"/>
              </w:rPr>
              <w:t xml:space="preserve">in adults as add-on maintenance treatment for uncontrolled chronic obstructive pulmonary disease </w:t>
            </w:r>
            <w:proofErr w:type="spellStart"/>
            <w:r w:rsidRPr="00527FC1">
              <w:rPr>
                <w:rFonts w:cs="Arial"/>
                <w:szCs w:val="19"/>
                <w:lang w:val="en-US"/>
              </w:rPr>
              <w:t>characterised</w:t>
            </w:r>
            <w:proofErr w:type="spellEnd"/>
            <w:r w:rsidRPr="00527FC1">
              <w:rPr>
                <w:rFonts w:cs="Arial"/>
                <w:szCs w:val="19"/>
                <w:lang w:val="en-US"/>
              </w:rPr>
              <w:t xml:space="preserve"> by raised blood eosinophils on a combination of an inhaled corticosteroid (ICS), a long-acting beta2-agonist (LABA), and a long-acting muscarinic antagonist (LAMA), or on a combination of a LABA and a LAMA if ICS is not appropriate</w:t>
            </w:r>
            <w:r w:rsidRPr="00527FC1">
              <w:rPr>
                <w:rFonts w:cs="Arial"/>
                <w:sz w:val="16"/>
                <w:szCs w:val="16"/>
                <w:lang w:val="en-US"/>
              </w:rPr>
              <w:t xml:space="preserve"> [EU] [new indication]</w:t>
            </w:r>
          </w:p>
        </w:tc>
      </w:tr>
      <w:tr w:rsidR="00E7626E" w:rsidRPr="00A075A3" w14:paraId="33E3C429" w14:textId="77777777" w:rsidTr="0038507C">
        <w:tc>
          <w:tcPr>
            <w:tcW w:w="1158" w:type="pct"/>
            <w:gridSpan w:val="2"/>
            <w:shd w:val="clear" w:color="auto" w:fill="auto"/>
            <w:tcMar>
              <w:top w:w="57" w:type="dxa"/>
              <w:bottom w:w="57" w:type="dxa"/>
            </w:tcMar>
          </w:tcPr>
          <w:p w14:paraId="03A08123" w14:textId="42282164" w:rsidR="00E7626E" w:rsidRPr="00AF0080" w:rsidRDefault="00E7626E" w:rsidP="00E7626E">
            <w:pPr>
              <w:rPr>
                <w:rFonts w:cs="Arial"/>
                <w:szCs w:val="19"/>
              </w:rPr>
            </w:pPr>
            <w:proofErr w:type="spellStart"/>
            <w:r w:rsidRPr="00FA7BF7">
              <w:rPr>
                <w:rFonts w:cs="Arial"/>
                <w:szCs w:val="19"/>
              </w:rPr>
              <w:t>Fidanacogene</w:t>
            </w:r>
            <w:proofErr w:type="spellEnd"/>
            <w:r w:rsidRPr="00FA7BF7">
              <w:rPr>
                <w:rFonts w:cs="Arial"/>
                <w:szCs w:val="19"/>
              </w:rPr>
              <w:t xml:space="preserve"> </w:t>
            </w:r>
            <w:proofErr w:type="spellStart"/>
            <w:r w:rsidRPr="00FA7BF7">
              <w:rPr>
                <w:rFonts w:cs="Arial"/>
                <w:szCs w:val="19"/>
              </w:rPr>
              <w:t>elaparvovec</w:t>
            </w:r>
            <w:proofErr w:type="spellEnd"/>
            <w:r w:rsidRPr="00FA7BF7">
              <w:rPr>
                <w:rFonts w:cs="Arial"/>
                <w:szCs w:val="19"/>
              </w:rPr>
              <w:t xml:space="preserve"> (</w:t>
            </w:r>
            <w:proofErr w:type="spellStart"/>
            <w:r w:rsidRPr="00FA7BF7">
              <w:rPr>
                <w:rFonts w:cs="Arial"/>
                <w:i/>
                <w:iCs/>
                <w:szCs w:val="19"/>
              </w:rPr>
              <w:t>Durveqtix</w:t>
            </w:r>
            <w:proofErr w:type="spellEnd"/>
            <w:r>
              <w:rPr>
                <w:rFonts w:cs="Arial"/>
                <w:szCs w:val="19"/>
              </w:rPr>
              <w:t>)</w:t>
            </w:r>
          </w:p>
        </w:tc>
        <w:tc>
          <w:tcPr>
            <w:tcW w:w="3842" w:type="pct"/>
            <w:shd w:val="clear" w:color="auto" w:fill="auto"/>
            <w:tcMar>
              <w:top w:w="57" w:type="dxa"/>
              <w:bottom w:w="57" w:type="dxa"/>
            </w:tcMar>
          </w:tcPr>
          <w:p w14:paraId="3F86DD47" w14:textId="1895C742" w:rsidR="00E7626E" w:rsidRPr="00A075A3" w:rsidRDefault="00E7626E" w:rsidP="00E7626E">
            <w:pPr>
              <w:tabs>
                <w:tab w:val="center" w:pos="3152"/>
              </w:tabs>
              <w:rPr>
                <w:rFonts w:cs="Arial"/>
                <w:szCs w:val="19"/>
                <w:lang w:val="en-US"/>
              </w:rPr>
            </w:pPr>
            <w:r>
              <w:rPr>
                <w:rFonts w:cs="Arial"/>
                <w:szCs w:val="19"/>
                <w:lang w:val="en-US"/>
              </w:rPr>
              <w:t>T</w:t>
            </w:r>
            <w:r w:rsidRPr="00FA7BF7">
              <w:rPr>
                <w:rFonts w:cs="Arial"/>
                <w:szCs w:val="19"/>
                <w:lang w:val="en-US"/>
              </w:rPr>
              <w:t>reatment of severe and moderately severe haemophilia B (congenital factor IX deficiency) in adults without a history of factor IX inhibitors and without detectable antibodies to variant AAV serotype Rh7</w:t>
            </w:r>
            <w:r>
              <w:rPr>
                <w:rFonts w:cs="Arial"/>
                <w:szCs w:val="19"/>
                <w:lang w:val="en-US"/>
              </w:rPr>
              <w:t xml:space="preserve"> </w:t>
            </w:r>
            <w:r w:rsidRPr="00FA7BF7">
              <w:rPr>
                <w:rFonts w:cs="Arial"/>
                <w:sz w:val="16"/>
                <w:szCs w:val="16"/>
                <w:lang w:val="en-US"/>
              </w:rPr>
              <w:t>[EU]</w:t>
            </w:r>
          </w:p>
        </w:tc>
      </w:tr>
      <w:tr w:rsidR="008F1FC7" w:rsidRPr="00A075A3" w14:paraId="2F7E5613" w14:textId="77777777" w:rsidTr="0038507C">
        <w:tc>
          <w:tcPr>
            <w:tcW w:w="1158" w:type="pct"/>
            <w:gridSpan w:val="2"/>
            <w:shd w:val="clear" w:color="auto" w:fill="auto"/>
            <w:tcMar>
              <w:top w:w="57" w:type="dxa"/>
              <w:bottom w:w="57" w:type="dxa"/>
            </w:tcMar>
          </w:tcPr>
          <w:p w14:paraId="43E92ACB" w14:textId="6D50B7CA" w:rsidR="008F1FC7" w:rsidRPr="00272180" w:rsidRDefault="008F1FC7" w:rsidP="008F1FC7">
            <w:pPr>
              <w:rPr>
                <w:rFonts w:cs="Arial"/>
                <w:szCs w:val="19"/>
              </w:rPr>
            </w:pPr>
            <w:proofErr w:type="spellStart"/>
            <w:r>
              <w:rPr>
                <w:rFonts w:cs="Arial"/>
                <w:szCs w:val="19"/>
              </w:rPr>
              <w:t>Maralixibat</w:t>
            </w:r>
            <w:proofErr w:type="spellEnd"/>
            <w:r>
              <w:rPr>
                <w:rFonts w:cs="Arial"/>
                <w:szCs w:val="19"/>
              </w:rPr>
              <w:t xml:space="preserve"> (</w:t>
            </w:r>
            <w:proofErr w:type="spellStart"/>
            <w:r>
              <w:rPr>
                <w:rFonts w:cs="Arial"/>
                <w:i/>
                <w:iCs/>
                <w:szCs w:val="19"/>
              </w:rPr>
              <w:t>Livmarli</w:t>
            </w:r>
            <w:proofErr w:type="spellEnd"/>
            <w:r>
              <w:rPr>
                <w:rFonts w:cs="Arial"/>
                <w:szCs w:val="19"/>
              </w:rPr>
              <w:t>)</w:t>
            </w:r>
          </w:p>
        </w:tc>
        <w:tc>
          <w:tcPr>
            <w:tcW w:w="3842" w:type="pct"/>
            <w:shd w:val="clear" w:color="auto" w:fill="auto"/>
            <w:tcMar>
              <w:top w:w="57" w:type="dxa"/>
              <w:bottom w:w="57" w:type="dxa"/>
            </w:tcMar>
          </w:tcPr>
          <w:p w14:paraId="4CA7B38C" w14:textId="77777777" w:rsidR="008F1FC7" w:rsidRDefault="008F1FC7" w:rsidP="008F1FC7">
            <w:pPr>
              <w:tabs>
                <w:tab w:val="center" w:pos="3152"/>
              </w:tabs>
              <w:rPr>
                <w:rFonts w:cs="Arial"/>
                <w:sz w:val="16"/>
                <w:szCs w:val="16"/>
                <w:lang w:val="en-US"/>
              </w:rPr>
            </w:pPr>
            <w:r w:rsidRPr="00A806C6">
              <w:rPr>
                <w:rFonts w:cs="Arial"/>
                <w:szCs w:val="19"/>
                <w:lang w:val="en-US"/>
              </w:rPr>
              <w:t>Treatment of</w:t>
            </w:r>
            <w:r>
              <w:rPr>
                <w:rFonts w:cs="Arial"/>
                <w:szCs w:val="19"/>
                <w:lang w:val="en-US"/>
              </w:rPr>
              <w:t xml:space="preserve"> p</w:t>
            </w:r>
            <w:r w:rsidRPr="00A806C6">
              <w:rPr>
                <w:rFonts w:cs="Arial"/>
                <w:szCs w:val="19"/>
                <w:lang w:val="en-US"/>
              </w:rPr>
              <w:t xml:space="preserve">rogressive familial intrahepatic cholestasis in patients </w:t>
            </w:r>
            <w:r>
              <w:rPr>
                <w:rFonts w:cs="Arial"/>
                <w:szCs w:val="19"/>
                <w:lang w:val="en-US"/>
              </w:rPr>
              <w:t>aged ≥</w:t>
            </w:r>
            <w:r w:rsidRPr="00A806C6">
              <w:rPr>
                <w:rFonts w:cs="Arial"/>
                <w:szCs w:val="19"/>
                <w:lang w:val="en-US"/>
              </w:rPr>
              <w:t xml:space="preserve">3 months </w:t>
            </w:r>
            <w:r w:rsidRPr="00A806C6">
              <w:rPr>
                <w:rFonts w:cs="Arial"/>
                <w:sz w:val="16"/>
                <w:szCs w:val="16"/>
                <w:lang w:val="en-US"/>
              </w:rPr>
              <w:t xml:space="preserve">[EU] </w:t>
            </w:r>
          </w:p>
          <w:p w14:paraId="631B75AD" w14:textId="589FE2BE" w:rsidR="008F1FC7" w:rsidRDefault="008F1FC7" w:rsidP="008F1FC7">
            <w:pPr>
              <w:tabs>
                <w:tab w:val="center" w:pos="3152"/>
              </w:tabs>
              <w:rPr>
                <w:rFonts w:cs="Arial"/>
                <w:szCs w:val="19"/>
                <w:lang w:val="en-US"/>
              </w:rPr>
            </w:pPr>
            <w:r w:rsidRPr="00A806C6">
              <w:rPr>
                <w:rFonts w:cs="Arial"/>
                <w:sz w:val="16"/>
                <w:szCs w:val="16"/>
                <w:lang w:val="en-US"/>
              </w:rPr>
              <w:t>[new indication]</w:t>
            </w:r>
          </w:p>
        </w:tc>
      </w:tr>
      <w:tr w:rsidR="008F1FC7" w14:paraId="3AF248F8" w14:textId="77777777" w:rsidTr="0038507C">
        <w:tc>
          <w:tcPr>
            <w:tcW w:w="1158" w:type="pct"/>
            <w:gridSpan w:val="2"/>
            <w:shd w:val="clear" w:color="auto" w:fill="auto"/>
            <w:tcMar>
              <w:top w:w="57" w:type="dxa"/>
              <w:bottom w:w="57" w:type="dxa"/>
            </w:tcMar>
          </w:tcPr>
          <w:p w14:paraId="1CB8E3C8" w14:textId="08CA678C" w:rsidR="008F1FC7" w:rsidRPr="00A806C6" w:rsidRDefault="008F1FC7" w:rsidP="008F1FC7">
            <w:pPr>
              <w:rPr>
                <w:rFonts w:cs="Arial"/>
                <w:szCs w:val="19"/>
              </w:rPr>
            </w:pPr>
            <w:r>
              <w:rPr>
                <w:rFonts w:cs="Arial"/>
                <w:szCs w:val="19"/>
              </w:rPr>
              <w:t>Ocrelizumab (</w:t>
            </w:r>
            <w:r>
              <w:rPr>
                <w:rFonts w:cs="Arial"/>
                <w:i/>
                <w:iCs/>
                <w:szCs w:val="19"/>
              </w:rPr>
              <w:t>Ocrevus</w:t>
            </w:r>
            <w:r>
              <w:rPr>
                <w:rFonts w:cs="Arial"/>
                <w:szCs w:val="19"/>
              </w:rPr>
              <w:t>)</w:t>
            </w:r>
          </w:p>
        </w:tc>
        <w:tc>
          <w:tcPr>
            <w:tcW w:w="3842" w:type="pct"/>
            <w:shd w:val="clear" w:color="auto" w:fill="auto"/>
            <w:tcMar>
              <w:top w:w="57" w:type="dxa"/>
              <w:bottom w:w="57" w:type="dxa"/>
            </w:tcMar>
          </w:tcPr>
          <w:p w14:paraId="7C073111" w14:textId="57F31523" w:rsidR="008F1FC7" w:rsidRDefault="008F1FC7" w:rsidP="008F1FC7">
            <w:pPr>
              <w:tabs>
                <w:tab w:val="center" w:pos="3152"/>
              </w:tabs>
              <w:rPr>
                <w:rFonts w:cs="Arial"/>
                <w:szCs w:val="19"/>
                <w:lang w:val="en-US"/>
              </w:rPr>
            </w:pPr>
            <w:r w:rsidRPr="00DC144D">
              <w:rPr>
                <w:rFonts w:cs="Arial"/>
                <w:szCs w:val="19"/>
                <w:lang w:val="en-US"/>
              </w:rPr>
              <w:t>Tr</w:t>
            </w:r>
            <w:r>
              <w:rPr>
                <w:rFonts w:cs="Arial"/>
                <w:szCs w:val="19"/>
                <w:lang w:val="en-US"/>
              </w:rPr>
              <w:t>e</w:t>
            </w:r>
            <w:r w:rsidRPr="00DC144D">
              <w:rPr>
                <w:rFonts w:cs="Arial"/>
                <w:szCs w:val="19"/>
                <w:lang w:val="en-US"/>
              </w:rPr>
              <w:t>atment of adults with relapsing forms of multiple sclerosis with active disease defined by clinical or imaging features</w:t>
            </w:r>
            <w:r>
              <w:rPr>
                <w:rFonts w:cs="Arial"/>
                <w:szCs w:val="19"/>
                <w:lang w:val="en-US"/>
              </w:rPr>
              <w:t xml:space="preserve">, and </w:t>
            </w:r>
            <w:r w:rsidRPr="00DC144D">
              <w:rPr>
                <w:rFonts w:cs="Arial"/>
                <w:szCs w:val="19"/>
                <w:lang w:val="en-US"/>
              </w:rPr>
              <w:t>treatment of adults with early primary progressive multiple sclerosis in terms of disease duration and level of disability, and with imaging features characteristic of inflammatory activity</w:t>
            </w:r>
            <w:r>
              <w:rPr>
                <w:rFonts w:cs="Arial"/>
                <w:szCs w:val="19"/>
                <w:lang w:val="en-US"/>
              </w:rPr>
              <w:t xml:space="preserve"> </w:t>
            </w:r>
            <w:r w:rsidRPr="00DC144D">
              <w:rPr>
                <w:rFonts w:cs="Arial"/>
                <w:sz w:val="16"/>
                <w:szCs w:val="16"/>
                <w:lang w:val="en-US"/>
              </w:rPr>
              <w:t>[EU] [new subcutaneous formulation]</w:t>
            </w:r>
          </w:p>
        </w:tc>
      </w:tr>
      <w:tr w:rsidR="008F1FC7" w:rsidRPr="00A075A3" w14:paraId="3767263D" w14:textId="77777777" w:rsidTr="0038507C">
        <w:tc>
          <w:tcPr>
            <w:tcW w:w="1158" w:type="pct"/>
            <w:gridSpan w:val="2"/>
            <w:shd w:val="clear" w:color="auto" w:fill="auto"/>
            <w:tcMar>
              <w:top w:w="57" w:type="dxa"/>
              <w:bottom w:w="57" w:type="dxa"/>
            </w:tcMar>
          </w:tcPr>
          <w:p w14:paraId="7BE62C3B" w14:textId="0238BACD" w:rsidR="008F1FC7" w:rsidRPr="008F1FC7" w:rsidRDefault="008F1FC7" w:rsidP="008F1FC7">
            <w:pPr>
              <w:rPr>
                <w:rFonts w:cs="Arial"/>
                <w:szCs w:val="19"/>
              </w:rPr>
            </w:pPr>
            <w:r>
              <w:rPr>
                <w:rFonts w:cs="Arial"/>
                <w:szCs w:val="19"/>
              </w:rPr>
              <w:t>Osimertinib (</w:t>
            </w:r>
            <w:proofErr w:type="spellStart"/>
            <w:r>
              <w:rPr>
                <w:rFonts w:cs="Arial"/>
                <w:i/>
                <w:iCs/>
                <w:szCs w:val="19"/>
              </w:rPr>
              <w:t>Tagrisso</w:t>
            </w:r>
            <w:proofErr w:type="spellEnd"/>
            <w:r>
              <w:rPr>
                <w:rFonts w:cs="Arial"/>
                <w:szCs w:val="19"/>
              </w:rPr>
              <w:t>)</w:t>
            </w:r>
          </w:p>
        </w:tc>
        <w:tc>
          <w:tcPr>
            <w:tcW w:w="3842" w:type="pct"/>
            <w:shd w:val="clear" w:color="auto" w:fill="auto"/>
            <w:tcMar>
              <w:top w:w="57" w:type="dxa"/>
              <w:bottom w:w="57" w:type="dxa"/>
            </w:tcMar>
          </w:tcPr>
          <w:p w14:paraId="483BC0FB" w14:textId="2FDDE7EE" w:rsidR="008F1FC7" w:rsidRDefault="008F1FC7" w:rsidP="008F1FC7">
            <w:pPr>
              <w:tabs>
                <w:tab w:val="num" w:pos="720"/>
                <w:tab w:val="center" w:pos="3152"/>
              </w:tabs>
              <w:rPr>
                <w:rFonts w:cs="Arial"/>
                <w:szCs w:val="19"/>
                <w:lang w:val="en-US"/>
              </w:rPr>
            </w:pPr>
            <w:r>
              <w:rPr>
                <w:rFonts w:cs="Arial"/>
                <w:szCs w:val="19"/>
                <w:lang w:val="en-US"/>
              </w:rPr>
              <w:t>Use i</w:t>
            </w:r>
            <w:r w:rsidRPr="008F1FC7">
              <w:rPr>
                <w:rFonts w:cs="Arial"/>
                <w:szCs w:val="19"/>
                <w:lang w:val="en-US"/>
              </w:rPr>
              <w:t xml:space="preserve">n combination with pemetrexed and platinum-based chemotherapy for the first-line treatment of adults with advanced </w:t>
            </w:r>
            <w:r>
              <w:rPr>
                <w:rFonts w:cs="Arial"/>
                <w:szCs w:val="19"/>
                <w:lang w:val="en-US"/>
              </w:rPr>
              <w:t>non-small cell lung cancer</w:t>
            </w:r>
            <w:r w:rsidRPr="008F1FC7">
              <w:rPr>
                <w:rFonts w:cs="Arial"/>
                <w:szCs w:val="19"/>
                <w:lang w:val="en-US"/>
              </w:rPr>
              <w:t xml:space="preserve"> whose tumours have EGFR exon 19 deletions or exon 21 (L858R) substitution mutations</w:t>
            </w:r>
            <w:r>
              <w:rPr>
                <w:rFonts w:cs="Arial"/>
                <w:szCs w:val="19"/>
                <w:lang w:val="en-US"/>
              </w:rPr>
              <w:t xml:space="preserve"> </w:t>
            </w:r>
            <w:r w:rsidRPr="00A806C6">
              <w:rPr>
                <w:rFonts w:cs="Arial"/>
                <w:sz w:val="16"/>
                <w:szCs w:val="16"/>
                <w:lang w:val="en-US"/>
              </w:rPr>
              <w:t>[EU] [new indication]</w:t>
            </w:r>
          </w:p>
        </w:tc>
      </w:tr>
      <w:tr w:rsidR="008F1FC7" w:rsidRPr="00A075A3" w14:paraId="4D59D14C" w14:textId="77777777" w:rsidTr="0038507C">
        <w:tc>
          <w:tcPr>
            <w:tcW w:w="1158" w:type="pct"/>
            <w:gridSpan w:val="2"/>
            <w:shd w:val="clear" w:color="auto" w:fill="auto"/>
            <w:tcMar>
              <w:top w:w="57" w:type="dxa"/>
              <w:bottom w:w="57" w:type="dxa"/>
            </w:tcMar>
          </w:tcPr>
          <w:p w14:paraId="0B32CFD3" w14:textId="7FECF1D1" w:rsidR="008F1FC7" w:rsidRPr="00EC05B6" w:rsidRDefault="008F1FC7" w:rsidP="008F1FC7">
            <w:pPr>
              <w:rPr>
                <w:rFonts w:cs="Arial"/>
                <w:szCs w:val="19"/>
              </w:rPr>
            </w:pPr>
            <w:r>
              <w:rPr>
                <w:rFonts w:cs="Arial"/>
                <w:szCs w:val="19"/>
              </w:rPr>
              <w:t>Polyhexanide (</w:t>
            </w:r>
            <w:proofErr w:type="spellStart"/>
            <w:r>
              <w:rPr>
                <w:rFonts w:cs="Arial"/>
                <w:i/>
                <w:iCs/>
                <w:szCs w:val="19"/>
              </w:rPr>
              <w:t>Akantior</w:t>
            </w:r>
            <w:proofErr w:type="spellEnd"/>
            <w:r>
              <w:rPr>
                <w:rFonts w:cs="Arial"/>
                <w:szCs w:val="19"/>
              </w:rPr>
              <w:t>)</w:t>
            </w:r>
          </w:p>
        </w:tc>
        <w:tc>
          <w:tcPr>
            <w:tcW w:w="3842" w:type="pct"/>
            <w:shd w:val="clear" w:color="auto" w:fill="auto"/>
            <w:tcMar>
              <w:top w:w="57" w:type="dxa"/>
              <w:bottom w:w="57" w:type="dxa"/>
            </w:tcMar>
          </w:tcPr>
          <w:p w14:paraId="375B8714" w14:textId="2BBF9BF5" w:rsidR="008F1FC7" w:rsidRDefault="008F1FC7" w:rsidP="008F1FC7">
            <w:pPr>
              <w:tabs>
                <w:tab w:val="num" w:pos="720"/>
                <w:tab w:val="center" w:pos="3152"/>
              </w:tabs>
              <w:rPr>
                <w:rFonts w:cs="Arial"/>
                <w:szCs w:val="19"/>
                <w:lang w:val="en-US"/>
              </w:rPr>
            </w:pPr>
            <w:r w:rsidRPr="00EC05B6">
              <w:rPr>
                <w:rFonts w:cs="Arial"/>
                <w:szCs w:val="19"/>
                <w:lang w:val="en-US"/>
              </w:rPr>
              <w:t xml:space="preserve">Treatment of Acanthamoeba keratitis in adults and children </w:t>
            </w:r>
            <w:r>
              <w:rPr>
                <w:rFonts w:cs="Arial"/>
                <w:szCs w:val="19"/>
                <w:lang w:val="en-US"/>
              </w:rPr>
              <w:t>aged</w:t>
            </w:r>
            <w:r w:rsidRPr="00EC05B6">
              <w:rPr>
                <w:rFonts w:cs="Arial"/>
                <w:szCs w:val="19"/>
                <w:lang w:val="en-US"/>
              </w:rPr>
              <w:t xml:space="preserve"> </w:t>
            </w:r>
            <w:r>
              <w:rPr>
                <w:rFonts w:cs="Arial"/>
                <w:szCs w:val="19"/>
                <w:lang w:val="en-US"/>
              </w:rPr>
              <w:t>≥</w:t>
            </w:r>
            <w:r w:rsidRPr="00EC05B6">
              <w:rPr>
                <w:rFonts w:cs="Arial"/>
                <w:szCs w:val="19"/>
                <w:lang w:val="en-US"/>
              </w:rPr>
              <w:t>12 years</w:t>
            </w:r>
            <w:r>
              <w:rPr>
                <w:rFonts w:cs="Arial"/>
                <w:szCs w:val="19"/>
                <w:lang w:val="en-US"/>
              </w:rPr>
              <w:t xml:space="preserve"> </w:t>
            </w:r>
            <w:r w:rsidRPr="00DC144D">
              <w:rPr>
                <w:rFonts w:cs="Arial"/>
                <w:sz w:val="16"/>
                <w:szCs w:val="16"/>
                <w:lang w:val="en-US"/>
              </w:rPr>
              <w:t>[EU]</w:t>
            </w:r>
          </w:p>
        </w:tc>
      </w:tr>
      <w:tr w:rsidR="008F1FC7" w:rsidRPr="00A075A3" w14:paraId="151CCC07" w14:textId="77777777" w:rsidTr="0038507C">
        <w:tc>
          <w:tcPr>
            <w:tcW w:w="1158" w:type="pct"/>
            <w:gridSpan w:val="2"/>
            <w:shd w:val="clear" w:color="auto" w:fill="auto"/>
            <w:tcMar>
              <w:top w:w="57" w:type="dxa"/>
              <w:bottom w:w="57" w:type="dxa"/>
            </w:tcMar>
          </w:tcPr>
          <w:p w14:paraId="6D4782FB" w14:textId="01E670EC" w:rsidR="008F1FC7" w:rsidRPr="003D7028" w:rsidRDefault="008F1FC7" w:rsidP="008F1FC7">
            <w:pPr>
              <w:rPr>
                <w:rFonts w:cs="Arial"/>
                <w:szCs w:val="19"/>
              </w:rPr>
            </w:pPr>
            <w:r>
              <w:rPr>
                <w:rFonts w:cs="Arial"/>
                <w:szCs w:val="19"/>
              </w:rPr>
              <w:t>Risankizumab (</w:t>
            </w:r>
            <w:proofErr w:type="spellStart"/>
            <w:r>
              <w:rPr>
                <w:rFonts w:cs="Arial"/>
                <w:i/>
                <w:iCs/>
                <w:szCs w:val="19"/>
              </w:rPr>
              <w:t>Skyrizi</w:t>
            </w:r>
            <w:proofErr w:type="spellEnd"/>
            <w:r>
              <w:rPr>
                <w:rFonts w:cs="Arial"/>
                <w:szCs w:val="19"/>
              </w:rPr>
              <w:t>)</w:t>
            </w:r>
          </w:p>
        </w:tc>
        <w:tc>
          <w:tcPr>
            <w:tcW w:w="3842" w:type="pct"/>
            <w:shd w:val="clear" w:color="auto" w:fill="auto"/>
            <w:tcMar>
              <w:top w:w="57" w:type="dxa"/>
              <w:bottom w:w="57" w:type="dxa"/>
            </w:tcMar>
          </w:tcPr>
          <w:p w14:paraId="6B78D1FD" w14:textId="5D1B6817" w:rsidR="008F1FC7" w:rsidRDefault="008F1FC7" w:rsidP="008F1FC7">
            <w:pPr>
              <w:tabs>
                <w:tab w:val="center" w:pos="3152"/>
              </w:tabs>
              <w:rPr>
                <w:rFonts w:cs="Arial"/>
                <w:szCs w:val="19"/>
                <w:lang w:val="en-US"/>
              </w:rPr>
            </w:pPr>
            <w:r w:rsidRPr="003D7028">
              <w:rPr>
                <w:rFonts w:cs="Arial"/>
                <w:szCs w:val="19"/>
                <w:lang w:val="en-US"/>
              </w:rPr>
              <w:t>Treatment of adults with moderately to severely active ulcerative colitis who have had an inadequate response to, lost response to, or were intolerant to conventional therapy or a biologic therapy</w:t>
            </w:r>
            <w:r>
              <w:rPr>
                <w:rFonts w:cs="Arial"/>
                <w:szCs w:val="19"/>
                <w:lang w:val="en-US"/>
              </w:rPr>
              <w:t xml:space="preserve"> </w:t>
            </w:r>
            <w:r w:rsidRPr="00A806C6">
              <w:rPr>
                <w:rFonts w:cs="Arial"/>
                <w:sz w:val="16"/>
                <w:szCs w:val="16"/>
                <w:lang w:val="en-US"/>
              </w:rPr>
              <w:t>[EU] [new indication]</w:t>
            </w:r>
          </w:p>
        </w:tc>
      </w:tr>
      <w:tr w:rsidR="008F1FC7" w:rsidRPr="00A075A3" w14:paraId="1D92253C" w14:textId="77777777" w:rsidTr="0038507C">
        <w:tc>
          <w:tcPr>
            <w:tcW w:w="1158" w:type="pct"/>
            <w:gridSpan w:val="2"/>
            <w:shd w:val="clear" w:color="auto" w:fill="auto"/>
            <w:tcMar>
              <w:top w:w="57" w:type="dxa"/>
              <w:bottom w:w="57" w:type="dxa"/>
            </w:tcMar>
          </w:tcPr>
          <w:p w14:paraId="09BF31F2" w14:textId="6E40F929" w:rsidR="008F1FC7" w:rsidRPr="00EF6A01" w:rsidRDefault="008F1FC7" w:rsidP="008F1FC7">
            <w:pPr>
              <w:rPr>
                <w:rFonts w:cs="Arial"/>
                <w:i/>
                <w:iCs/>
                <w:szCs w:val="19"/>
              </w:rPr>
            </w:pPr>
            <w:proofErr w:type="spellStart"/>
            <w:r>
              <w:rPr>
                <w:rFonts w:cs="Arial"/>
                <w:szCs w:val="19"/>
              </w:rPr>
              <w:t>Sugemalimab</w:t>
            </w:r>
            <w:proofErr w:type="spellEnd"/>
            <w:r>
              <w:rPr>
                <w:rFonts w:cs="Arial"/>
                <w:szCs w:val="19"/>
              </w:rPr>
              <w:t xml:space="preserve"> (</w:t>
            </w:r>
            <w:proofErr w:type="spellStart"/>
            <w:r w:rsidRPr="00EF6A01">
              <w:rPr>
                <w:rFonts w:cs="Arial"/>
                <w:i/>
                <w:iCs/>
                <w:szCs w:val="19"/>
              </w:rPr>
              <w:t>Cejemly</w:t>
            </w:r>
            <w:proofErr w:type="spellEnd"/>
            <w:r>
              <w:rPr>
                <w:rFonts w:cs="Arial"/>
                <w:szCs w:val="19"/>
              </w:rPr>
              <w:t>)</w:t>
            </w:r>
          </w:p>
        </w:tc>
        <w:tc>
          <w:tcPr>
            <w:tcW w:w="3842" w:type="pct"/>
            <w:shd w:val="clear" w:color="auto" w:fill="auto"/>
            <w:tcMar>
              <w:top w:w="57" w:type="dxa"/>
              <w:bottom w:w="57" w:type="dxa"/>
            </w:tcMar>
          </w:tcPr>
          <w:p w14:paraId="06EBC285" w14:textId="4D99A589" w:rsidR="008F1FC7" w:rsidRDefault="008F1FC7" w:rsidP="008F1FC7">
            <w:pPr>
              <w:tabs>
                <w:tab w:val="num" w:pos="720"/>
                <w:tab w:val="center" w:pos="3152"/>
              </w:tabs>
              <w:rPr>
                <w:rFonts w:cs="Arial"/>
                <w:szCs w:val="19"/>
                <w:lang w:val="en-US"/>
              </w:rPr>
            </w:pPr>
            <w:r>
              <w:rPr>
                <w:rFonts w:cs="Arial"/>
                <w:szCs w:val="19"/>
                <w:lang w:val="en-US"/>
              </w:rPr>
              <w:t xml:space="preserve">Use in </w:t>
            </w:r>
            <w:r w:rsidRPr="00EF6A01">
              <w:rPr>
                <w:rFonts w:cs="Arial"/>
                <w:szCs w:val="19"/>
                <w:lang w:val="en-US"/>
              </w:rPr>
              <w:t>combination with platinum-based chemotherapy for the first</w:t>
            </w:r>
            <w:r w:rsidRPr="00EF6A01">
              <w:rPr>
                <w:rFonts w:ascii="Cambria Math" w:hAnsi="Cambria Math" w:cs="Cambria Math"/>
                <w:szCs w:val="19"/>
                <w:lang w:val="en-US"/>
              </w:rPr>
              <w:t>‑</w:t>
            </w:r>
            <w:r w:rsidRPr="00EF6A01">
              <w:rPr>
                <w:rFonts w:cs="Arial"/>
                <w:szCs w:val="19"/>
                <w:lang w:val="en-US"/>
              </w:rPr>
              <w:t>line treatment of adults with metastatic non</w:t>
            </w:r>
            <w:r w:rsidRPr="00EF6A01">
              <w:rPr>
                <w:rFonts w:ascii="Cambria Math" w:hAnsi="Cambria Math" w:cs="Cambria Math"/>
                <w:szCs w:val="19"/>
                <w:lang w:val="en-US"/>
              </w:rPr>
              <w:t>‑</w:t>
            </w:r>
            <w:r w:rsidRPr="00EF6A01">
              <w:rPr>
                <w:rFonts w:cs="Arial"/>
                <w:szCs w:val="19"/>
                <w:lang w:val="en-US"/>
              </w:rPr>
              <w:t>small</w:t>
            </w:r>
            <w:r w:rsidR="00F10D51">
              <w:rPr>
                <w:rFonts w:cs="Arial"/>
                <w:szCs w:val="19"/>
                <w:lang w:val="en-US"/>
              </w:rPr>
              <w:t xml:space="preserve"> </w:t>
            </w:r>
            <w:r w:rsidRPr="00EF6A01">
              <w:rPr>
                <w:rFonts w:cs="Arial"/>
                <w:szCs w:val="19"/>
                <w:lang w:val="en-US"/>
              </w:rPr>
              <w:t xml:space="preserve">cell lung cancer with no </w:t>
            </w:r>
            <w:proofErr w:type="spellStart"/>
            <w:r w:rsidRPr="00EF6A01">
              <w:rPr>
                <w:rFonts w:cs="Arial"/>
                <w:szCs w:val="19"/>
                <w:lang w:val="en-US"/>
              </w:rPr>
              <w:t>sensitising</w:t>
            </w:r>
            <w:proofErr w:type="spellEnd"/>
            <w:r w:rsidRPr="00EF6A01">
              <w:rPr>
                <w:rFonts w:cs="Arial"/>
                <w:szCs w:val="19"/>
                <w:lang w:val="en-US"/>
              </w:rPr>
              <w:t xml:space="preserve"> EGFR mutations, or ALK, ROS1 or RET genomic </w:t>
            </w:r>
            <w:proofErr w:type="spellStart"/>
            <w:r w:rsidRPr="00EF6A01">
              <w:rPr>
                <w:rFonts w:cs="Arial"/>
                <w:szCs w:val="19"/>
                <w:lang w:val="en-US"/>
              </w:rPr>
              <w:t>tumour</w:t>
            </w:r>
            <w:proofErr w:type="spellEnd"/>
            <w:r w:rsidRPr="00EF6A01">
              <w:rPr>
                <w:rFonts w:cs="Arial"/>
                <w:szCs w:val="19"/>
                <w:lang w:val="en-US"/>
              </w:rPr>
              <w:t xml:space="preserve"> aberrations</w:t>
            </w:r>
            <w:r>
              <w:rPr>
                <w:rFonts w:cs="Arial"/>
                <w:szCs w:val="19"/>
                <w:lang w:val="en-US"/>
              </w:rPr>
              <w:t xml:space="preserve"> </w:t>
            </w:r>
            <w:r w:rsidRPr="00EF6A01">
              <w:rPr>
                <w:rFonts w:cs="Arial"/>
                <w:sz w:val="16"/>
                <w:szCs w:val="16"/>
                <w:lang w:val="en-US"/>
              </w:rPr>
              <w:t>[EU]</w:t>
            </w:r>
          </w:p>
        </w:tc>
      </w:tr>
      <w:tr w:rsidR="008F1FC7" w:rsidRPr="00A075A3" w14:paraId="30FCA170" w14:textId="77777777" w:rsidTr="0038507C">
        <w:tc>
          <w:tcPr>
            <w:tcW w:w="1158" w:type="pct"/>
            <w:gridSpan w:val="2"/>
            <w:shd w:val="clear" w:color="auto" w:fill="auto"/>
            <w:tcMar>
              <w:top w:w="57" w:type="dxa"/>
              <w:bottom w:w="57" w:type="dxa"/>
            </w:tcMar>
          </w:tcPr>
          <w:p w14:paraId="54778972" w14:textId="3C0DA0F8" w:rsidR="008F1FC7" w:rsidRPr="008F1FC7" w:rsidRDefault="008F1FC7" w:rsidP="008F1FC7">
            <w:pPr>
              <w:rPr>
                <w:rFonts w:cs="Arial"/>
                <w:szCs w:val="19"/>
              </w:rPr>
            </w:pPr>
            <w:r>
              <w:rPr>
                <w:rFonts w:cs="Arial"/>
                <w:szCs w:val="19"/>
              </w:rPr>
              <w:t>Tislelizumab (</w:t>
            </w:r>
            <w:proofErr w:type="spellStart"/>
            <w:r>
              <w:rPr>
                <w:rFonts w:cs="Arial"/>
                <w:i/>
                <w:iCs/>
                <w:szCs w:val="19"/>
              </w:rPr>
              <w:t>Tevimbra</w:t>
            </w:r>
            <w:proofErr w:type="spellEnd"/>
            <w:r>
              <w:rPr>
                <w:rFonts w:cs="Arial"/>
                <w:szCs w:val="19"/>
              </w:rPr>
              <w:t>)</w:t>
            </w:r>
          </w:p>
        </w:tc>
        <w:tc>
          <w:tcPr>
            <w:tcW w:w="3842" w:type="pct"/>
            <w:shd w:val="clear" w:color="auto" w:fill="auto"/>
            <w:tcMar>
              <w:top w:w="57" w:type="dxa"/>
              <w:bottom w:w="57" w:type="dxa"/>
            </w:tcMar>
          </w:tcPr>
          <w:p w14:paraId="08E0BE99" w14:textId="63042E90" w:rsidR="008F1FC7" w:rsidRDefault="008F1FC7" w:rsidP="008F1FC7">
            <w:pPr>
              <w:tabs>
                <w:tab w:val="num" w:pos="720"/>
                <w:tab w:val="center" w:pos="3152"/>
              </w:tabs>
              <w:rPr>
                <w:rFonts w:cs="Arial"/>
                <w:szCs w:val="19"/>
                <w:lang w:val="en-US"/>
              </w:rPr>
            </w:pPr>
            <w:r>
              <w:rPr>
                <w:rFonts w:cs="Arial"/>
                <w:szCs w:val="19"/>
                <w:lang w:val="en-US"/>
              </w:rPr>
              <w:t>Use</w:t>
            </w:r>
            <w:r w:rsidRPr="008F1FC7">
              <w:rPr>
                <w:rFonts w:cs="Arial"/>
                <w:szCs w:val="19"/>
                <w:lang w:val="en-US"/>
              </w:rPr>
              <w:t xml:space="preserve"> as monotherapy for the treatment of adults with locally advanced or metastatic non-small cell lung cancer after prior platinum-based therapy</w:t>
            </w:r>
            <w:r w:rsidR="006B5D59">
              <w:rPr>
                <w:rFonts w:cs="Arial"/>
                <w:szCs w:val="19"/>
                <w:lang w:val="en-US"/>
              </w:rPr>
              <w:t xml:space="preserve"> </w:t>
            </w:r>
            <w:r w:rsidR="006B5D59" w:rsidRPr="00A806C6">
              <w:rPr>
                <w:rFonts w:cs="Arial"/>
                <w:sz w:val="16"/>
                <w:szCs w:val="16"/>
                <w:lang w:val="en-US"/>
              </w:rPr>
              <w:t>[EU] [new indication]</w:t>
            </w:r>
          </w:p>
        </w:tc>
      </w:tr>
      <w:tr w:rsidR="006B5D59" w:rsidRPr="00A075A3" w14:paraId="4EEF9C63" w14:textId="77777777" w:rsidTr="0038507C">
        <w:tc>
          <w:tcPr>
            <w:tcW w:w="1158" w:type="pct"/>
            <w:gridSpan w:val="2"/>
            <w:shd w:val="clear" w:color="auto" w:fill="auto"/>
            <w:tcMar>
              <w:top w:w="57" w:type="dxa"/>
              <w:bottom w:w="57" w:type="dxa"/>
            </w:tcMar>
          </w:tcPr>
          <w:p w14:paraId="1A64594F" w14:textId="058FC62A" w:rsidR="006B5D59" w:rsidRDefault="006B5D59" w:rsidP="006B5D59">
            <w:pPr>
              <w:rPr>
                <w:rFonts w:cs="Arial"/>
                <w:szCs w:val="19"/>
              </w:rPr>
            </w:pPr>
            <w:r>
              <w:rPr>
                <w:rFonts w:cs="Arial"/>
                <w:szCs w:val="19"/>
              </w:rPr>
              <w:t>Tislelizumab (</w:t>
            </w:r>
            <w:proofErr w:type="spellStart"/>
            <w:r>
              <w:rPr>
                <w:rFonts w:cs="Arial"/>
                <w:i/>
                <w:iCs/>
                <w:szCs w:val="19"/>
              </w:rPr>
              <w:t>Tevimbra</w:t>
            </w:r>
            <w:proofErr w:type="spellEnd"/>
            <w:r>
              <w:rPr>
                <w:rFonts w:cs="Arial"/>
                <w:szCs w:val="19"/>
              </w:rPr>
              <w:t>)</w:t>
            </w:r>
          </w:p>
        </w:tc>
        <w:tc>
          <w:tcPr>
            <w:tcW w:w="3842" w:type="pct"/>
            <w:shd w:val="clear" w:color="auto" w:fill="auto"/>
            <w:tcMar>
              <w:top w:w="57" w:type="dxa"/>
              <w:bottom w:w="57" w:type="dxa"/>
            </w:tcMar>
          </w:tcPr>
          <w:p w14:paraId="16C2EC4A" w14:textId="3A93CD6B" w:rsidR="006B5D59" w:rsidRPr="006B5D59" w:rsidRDefault="006B5D59" w:rsidP="006B5D59">
            <w:pPr>
              <w:tabs>
                <w:tab w:val="num" w:pos="720"/>
                <w:tab w:val="center" w:pos="3152"/>
              </w:tabs>
              <w:rPr>
                <w:rFonts w:cs="Arial"/>
                <w:szCs w:val="19"/>
                <w:lang w:val="en-US"/>
              </w:rPr>
            </w:pPr>
            <w:r w:rsidRPr="006B5D59">
              <w:rPr>
                <w:rFonts w:cs="Arial"/>
                <w:szCs w:val="19"/>
                <w:lang w:val="en-US"/>
              </w:rPr>
              <w:t xml:space="preserve">Use in combination with carboplatin and either paclitaxel or nab-paclitaxel for the first-line treatment of adults with squamous </w:t>
            </w:r>
            <w:r>
              <w:rPr>
                <w:rFonts w:cs="Arial"/>
                <w:szCs w:val="19"/>
                <w:lang w:val="en-US"/>
              </w:rPr>
              <w:t>non-small cell lung cancer (</w:t>
            </w:r>
            <w:r w:rsidRPr="006B5D59">
              <w:rPr>
                <w:rFonts w:cs="Arial"/>
                <w:szCs w:val="19"/>
                <w:lang w:val="en-US"/>
              </w:rPr>
              <w:t>NSCLC</w:t>
            </w:r>
            <w:r>
              <w:rPr>
                <w:rFonts w:cs="Arial"/>
                <w:szCs w:val="19"/>
                <w:lang w:val="en-US"/>
              </w:rPr>
              <w:t>)</w:t>
            </w:r>
            <w:r w:rsidRPr="006B5D59">
              <w:rPr>
                <w:rFonts w:cs="Arial"/>
                <w:szCs w:val="19"/>
                <w:lang w:val="en-US"/>
              </w:rPr>
              <w:t xml:space="preserve"> who have locally advanced NSCLC and are not candidates for surgical resection or platinum-based chemoradiation, or metastatic NSCLC</w:t>
            </w:r>
            <w:r>
              <w:rPr>
                <w:rFonts w:cs="Arial"/>
                <w:szCs w:val="19"/>
                <w:lang w:val="en-US"/>
              </w:rPr>
              <w:t xml:space="preserve"> </w:t>
            </w:r>
            <w:r w:rsidRPr="00A806C6">
              <w:rPr>
                <w:rFonts w:cs="Arial"/>
                <w:sz w:val="16"/>
                <w:szCs w:val="16"/>
                <w:lang w:val="en-US"/>
              </w:rPr>
              <w:t>[EU] [new indication]</w:t>
            </w:r>
          </w:p>
        </w:tc>
      </w:tr>
      <w:tr w:rsidR="006B5D59" w:rsidRPr="00A075A3" w14:paraId="1622B164" w14:textId="77777777" w:rsidTr="0038507C">
        <w:tc>
          <w:tcPr>
            <w:tcW w:w="1158" w:type="pct"/>
            <w:gridSpan w:val="2"/>
            <w:shd w:val="clear" w:color="auto" w:fill="auto"/>
            <w:tcMar>
              <w:top w:w="57" w:type="dxa"/>
              <w:bottom w:w="57" w:type="dxa"/>
            </w:tcMar>
          </w:tcPr>
          <w:p w14:paraId="23F4198D" w14:textId="6792DF09" w:rsidR="006B5D59" w:rsidRDefault="006B5D59" w:rsidP="006B5D59">
            <w:pPr>
              <w:rPr>
                <w:rFonts w:cs="Arial"/>
                <w:szCs w:val="19"/>
              </w:rPr>
            </w:pPr>
            <w:r>
              <w:rPr>
                <w:rFonts w:cs="Arial"/>
                <w:szCs w:val="19"/>
              </w:rPr>
              <w:t>Tislelizumab (</w:t>
            </w:r>
            <w:proofErr w:type="spellStart"/>
            <w:r>
              <w:rPr>
                <w:rFonts w:cs="Arial"/>
                <w:i/>
                <w:iCs/>
                <w:szCs w:val="19"/>
              </w:rPr>
              <w:t>Tevimbra</w:t>
            </w:r>
            <w:proofErr w:type="spellEnd"/>
            <w:r>
              <w:rPr>
                <w:rFonts w:cs="Arial"/>
                <w:szCs w:val="19"/>
              </w:rPr>
              <w:t>)</w:t>
            </w:r>
          </w:p>
        </w:tc>
        <w:tc>
          <w:tcPr>
            <w:tcW w:w="3842" w:type="pct"/>
            <w:shd w:val="clear" w:color="auto" w:fill="auto"/>
            <w:tcMar>
              <w:top w:w="57" w:type="dxa"/>
              <w:bottom w:w="57" w:type="dxa"/>
            </w:tcMar>
          </w:tcPr>
          <w:p w14:paraId="6684F7C8" w14:textId="49D4321D" w:rsidR="006B5D59" w:rsidRDefault="006B5D59" w:rsidP="006B5D59">
            <w:pPr>
              <w:tabs>
                <w:tab w:val="num" w:pos="720"/>
                <w:tab w:val="center" w:pos="3152"/>
              </w:tabs>
              <w:rPr>
                <w:rFonts w:cs="Arial"/>
                <w:szCs w:val="19"/>
                <w:lang w:val="en-US"/>
              </w:rPr>
            </w:pPr>
            <w:r w:rsidRPr="006B5D59">
              <w:rPr>
                <w:rFonts w:cs="Arial"/>
                <w:szCs w:val="19"/>
                <w:lang w:val="en-US"/>
              </w:rPr>
              <w:t>Use in combination with pemetrexed and platinum</w:t>
            </w:r>
            <w:r w:rsidRPr="006B5D59">
              <w:rPr>
                <w:rFonts w:ascii="Cambria Math" w:hAnsi="Cambria Math" w:cs="Cambria Math"/>
                <w:szCs w:val="19"/>
                <w:lang w:val="en-US"/>
              </w:rPr>
              <w:t>‑</w:t>
            </w:r>
            <w:r w:rsidRPr="006B5D59">
              <w:rPr>
                <w:rFonts w:cs="Arial"/>
                <w:szCs w:val="19"/>
                <w:lang w:val="en-US"/>
              </w:rPr>
              <w:t xml:space="preserve">containing chemotherapy for the first-line treatment of adults with non-squamous </w:t>
            </w:r>
            <w:r>
              <w:rPr>
                <w:rFonts w:cs="Arial"/>
                <w:szCs w:val="19"/>
                <w:lang w:val="en-US"/>
              </w:rPr>
              <w:t>non-small cell lung cancer (</w:t>
            </w:r>
            <w:r w:rsidRPr="006B5D59">
              <w:rPr>
                <w:rFonts w:cs="Arial"/>
                <w:szCs w:val="19"/>
                <w:lang w:val="en-US"/>
              </w:rPr>
              <w:t>NSCLC</w:t>
            </w:r>
            <w:r>
              <w:rPr>
                <w:rFonts w:cs="Arial"/>
                <w:szCs w:val="19"/>
                <w:lang w:val="en-US"/>
              </w:rPr>
              <w:t>)</w:t>
            </w:r>
            <w:r w:rsidRPr="006B5D59">
              <w:rPr>
                <w:rFonts w:cs="Arial"/>
                <w:szCs w:val="19"/>
                <w:lang w:val="en-US"/>
              </w:rPr>
              <w:t xml:space="preserve"> whose tumours have PD-L1 expression on ≥50% of </w:t>
            </w:r>
            <w:proofErr w:type="spellStart"/>
            <w:r w:rsidRPr="006B5D59">
              <w:rPr>
                <w:rFonts w:cs="Arial"/>
                <w:szCs w:val="19"/>
                <w:lang w:val="en-US"/>
              </w:rPr>
              <w:t>tumour</w:t>
            </w:r>
            <w:proofErr w:type="spellEnd"/>
            <w:r w:rsidRPr="006B5D59">
              <w:rPr>
                <w:rFonts w:cs="Arial"/>
                <w:szCs w:val="19"/>
                <w:lang w:val="en-US"/>
              </w:rPr>
              <w:t xml:space="preserve"> cells with no EGFR or ALK positive mutations and who have locally advanced NSCLC and are not candidates for surgical resection or platinum-based chemoradiation, or metastatic NSCLC</w:t>
            </w:r>
            <w:r>
              <w:rPr>
                <w:rFonts w:cs="Arial"/>
                <w:szCs w:val="19"/>
                <w:lang w:val="en-US"/>
              </w:rPr>
              <w:t xml:space="preserve"> </w:t>
            </w:r>
            <w:r w:rsidRPr="00A806C6">
              <w:rPr>
                <w:rFonts w:cs="Arial"/>
                <w:sz w:val="16"/>
                <w:szCs w:val="16"/>
                <w:lang w:val="en-US"/>
              </w:rPr>
              <w:t>[EU] [new indication]</w:t>
            </w:r>
          </w:p>
        </w:tc>
      </w:tr>
      <w:tr w:rsidR="006B5D59" w:rsidRPr="000F19E1" w14:paraId="1B9ED81E" w14:textId="77777777" w:rsidTr="0038507C">
        <w:tc>
          <w:tcPr>
            <w:tcW w:w="1158" w:type="pct"/>
            <w:gridSpan w:val="2"/>
            <w:shd w:val="clear" w:color="auto" w:fill="auto"/>
            <w:tcMar>
              <w:top w:w="0" w:type="dxa"/>
              <w:bottom w:w="0" w:type="dxa"/>
            </w:tcMar>
          </w:tcPr>
          <w:p w14:paraId="0AAB3C20" w14:textId="77777777" w:rsidR="006B5D59" w:rsidRPr="000F19E1" w:rsidRDefault="006B5D59" w:rsidP="006B5D59">
            <w:pPr>
              <w:rPr>
                <w:rFonts w:cs="Arial"/>
                <w:bCs/>
                <w:sz w:val="8"/>
                <w:szCs w:val="8"/>
              </w:rPr>
            </w:pPr>
          </w:p>
        </w:tc>
        <w:tc>
          <w:tcPr>
            <w:tcW w:w="3842" w:type="pct"/>
            <w:shd w:val="clear" w:color="auto" w:fill="auto"/>
            <w:tcMar>
              <w:top w:w="0" w:type="dxa"/>
              <w:bottom w:w="0" w:type="dxa"/>
            </w:tcMar>
          </w:tcPr>
          <w:p w14:paraId="662E5C7B" w14:textId="77777777" w:rsidR="006B5D59" w:rsidRPr="000F19E1" w:rsidRDefault="006B5D59" w:rsidP="006B5D59">
            <w:pPr>
              <w:tabs>
                <w:tab w:val="center" w:pos="3152"/>
              </w:tabs>
              <w:rPr>
                <w:rFonts w:cs="Arial"/>
                <w:sz w:val="8"/>
                <w:szCs w:val="8"/>
                <w:lang w:val="en-US"/>
              </w:rPr>
            </w:pPr>
          </w:p>
        </w:tc>
      </w:tr>
      <w:tr w:rsidR="006B5D59" w:rsidRPr="000F19E1" w14:paraId="45EAD6C1" w14:textId="77777777" w:rsidTr="0038507C">
        <w:tc>
          <w:tcPr>
            <w:tcW w:w="1158" w:type="pct"/>
            <w:gridSpan w:val="2"/>
            <w:shd w:val="clear" w:color="auto" w:fill="DAEEF3"/>
            <w:tcMar>
              <w:top w:w="0" w:type="dxa"/>
              <w:bottom w:w="0" w:type="dxa"/>
            </w:tcMar>
          </w:tcPr>
          <w:p w14:paraId="70543D5A" w14:textId="77777777" w:rsidR="006B5D59" w:rsidRPr="000F19E1" w:rsidRDefault="006B5D59" w:rsidP="006B5D59">
            <w:pPr>
              <w:rPr>
                <w:rFonts w:cs="Arial"/>
                <w:bCs/>
                <w:sz w:val="8"/>
                <w:szCs w:val="8"/>
              </w:rPr>
            </w:pPr>
          </w:p>
        </w:tc>
        <w:tc>
          <w:tcPr>
            <w:tcW w:w="3842" w:type="pct"/>
            <w:shd w:val="clear" w:color="auto" w:fill="DAEEF3"/>
            <w:tcMar>
              <w:top w:w="0" w:type="dxa"/>
              <w:bottom w:w="0" w:type="dxa"/>
            </w:tcMar>
          </w:tcPr>
          <w:p w14:paraId="6AC29569" w14:textId="77777777" w:rsidR="006B5D59" w:rsidRPr="000F19E1" w:rsidRDefault="006B5D59" w:rsidP="006B5D59">
            <w:pPr>
              <w:tabs>
                <w:tab w:val="center" w:pos="3152"/>
              </w:tabs>
              <w:rPr>
                <w:rFonts w:cs="Arial"/>
                <w:sz w:val="8"/>
                <w:szCs w:val="8"/>
                <w:lang w:val="en-US"/>
              </w:rPr>
            </w:pPr>
          </w:p>
        </w:tc>
      </w:tr>
    </w:tbl>
    <w:p w14:paraId="5D3D7C62" w14:textId="77777777" w:rsidR="001A42CE" w:rsidRDefault="001A42CE" w:rsidP="00BD0029">
      <w:pPr>
        <w:rPr>
          <w:sz w:val="18"/>
        </w:rPr>
      </w:pPr>
    </w:p>
    <w:p w14:paraId="04ABFDE4" w14:textId="6541674C" w:rsidR="00C70D7B" w:rsidRDefault="00C70D7B">
      <w:pPr>
        <w:rPr>
          <w:sz w:val="18"/>
        </w:rPr>
      </w:pPr>
      <w:r>
        <w:rPr>
          <w:sz w:val="18"/>
        </w:rPr>
        <w:br w:type="page"/>
      </w:r>
    </w:p>
    <w:p w14:paraId="22421211" w14:textId="77777777" w:rsidR="00C70D7B" w:rsidRDefault="00C70D7B" w:rsidP="00BD0029">
      <w:pPr>
        <w:rPr>
          <w:sz w:val="18"/>
        </w:rPr>
      </w:pPr>
    </w:p>
    <w:tbl>
      <w:tblPr>
        <w:tblW w:w="5170" w:type="pct"/>
        <w:tblInd w:w="-176" w:type="dxa"/>
        <w:tblLayout w:type="fixed"/>
        <w:tblLook w:val="01E0" w:firstRow="1" w:lastRow="1" w:firstColumn="1" w:lastColumn="1" w:noHBand="0" w:noVBand="0"/>
      </w:tblPr>
      <w:tblGrid>
        <w:gridCol w:w="2431"/>
        <w:gridCol w:w="13"/>
        <w:gridCol w:w="8107"/>
      </w:tblGrid>
      <w:tr w:rsidR="00C70D7B" w:rsidRPr="00862949" w14:paraId="35DF94CA" w14:textId="77777777" w:rsidTr="005652A6">
        <w:tc>
          <w:tcPr>
            <w:tcW w:w="5000" w:type="pct"/>
            <w:gridSpan w:val="3"/>
            <w:shd w:val="clear" w:color="auto" w:fill="0070C0"/>
            <w:tcMar>
              <w:top w:w="85" w:type="dxa"/>
              <w:bottom w:w="85" w:type="dxa"/>
            </w:tcMar>
            <w:vAlign w:val="bottom"/>
          </w:tcPr>
          <w:p w14:paraId="790AFED8" w14:textId="77777777" w:rsidR="00C70D7B" w:rsidRPr="00862949" w:rsidRDefault="00C70D7B" w:rsidP="005652A6">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C70D7B" w:rsidRPr="000F19E1" w14:paraId="1909D1DE" w14:textId="77777777" w:rsidTr="005652A6">
        <w:tc>
          <w:tcPr>
            <w:tcW w:w="1152" w:type="pct"/>
            <w:shd w:val="clear" w:color="auto" w:fill="DAEEF3"/>
            <w:tcMar>
              <w:top w:w="0" w:type="dxa"/>
              <w:bottom w:w="0" w:type="dxa"/>
            </w:tcMar>
          </w:tcPr>
          <w:p w14:paraId="5D5BC7A6" w14:textId="77777777" w:rsidR="00C70D7B" w:rsidRPr="000F19E1" w:rsidRDefault="00C70D7B" w:rsidP="005652A6">
            <w:pPr>
              <w:rPr>
                <w:rFonts w:cs="Arial"/>
                <w:bCs/>
                <w:sz w:val="8"/>
                <w:szCs w:val="8"/>
              </w:rPr>
            </w:pPr>
          </w:p>
        </w:tc>
        <w:tc>
          <w:tcPr>
            <w:tcW w:w="3848" w:type="pct"/>
            <w:gridSpan w:val="2"/>
            <w:shd w:val="clear" w:color="auto" w:fill="DAEEF3"/>
            <w:tcMar>
              <w:top w:w="0" w:type="dxa"/>
              <w:bottom w:w="0" w:type="dxa"/>
            </w:tcMar>
          </w:tcPr>
          <w:p w14:paraId="250702F9" w14:textId="77777777" w:rsidR="00C70D7B" w:rsidRPr="000F19E1" w:rsidRDefault="00C70D7B" w:rsidP="005652A6">
            <w:pPr>
              <w:tabs>
                <w:tab w:val="center" w:pos="3152"/>
              </w:tabs>
              <w:rPr>
                <w:rFonts w:cs="Arial"/>
                <w:sz w:val="8"/>
                <w:szCs w:val="8"/>
                <w:lang w:val="en-US"/>
              </w:rPr>
            </w:pPr>
          </w:p>
        </w:tc>
      </w:tr>
      <w:tr w:rsidR="00C70D7B" w:rsidRPr="00433D3E" w14:paraId="567F6CBB" w14:textId="77777777" w:rsidTr="005652A6">
        <w:tc>
          <w:tcPr>
            <w:tcW w:w="5000" w:type="pct"/>
            <w:gridSpan w:val="3"/>
            <w:shd w:val="clear" w:color="auto" w:fill="00B050"/>
            <w:tcMar>
              <w:top w:w="57" w:type="dxa"/>
              <w:bottom w:w="57" w:type="dxa"/>
            </w:tcMar>
          </w:tcPr>
          <w:p w14:paraId="6776E015" w14:textId="77777777" w:rsidR="00C70D7B" w:rsidRPr="00433D3E" w:rsidRDefault="00C70D7B" w:rsidP="005652A6">
            <w:pPr>
              <w:rPr>
                <w:rFonts w:cs="Arial"/>
                <w:noProof/>
                <w:color w:val="FFFFFF"/>
                <w:sz w:val="16"/>
                <w:szCs w:val="16"/>
              </w:rPr>
            </w:pPr>
            <w:r w:rsidRPr="00433D3E">
              <w:rPr>
                <w:rFonts w:cs="Arial"/>
                <w:b/>
                <w:bCs/>
                <w:i/>
                <w:iCs/>
                <w:color w:val="FFFFFF"/>
                <w:sz w:val="22"/>
                <w:szCs w:val="20"/>
                <w:lang w:val="en-US"/>
              </w:rPr>
              <w:t xml:space="preserve">Filed for approval in the </w:t>
            </w:r>
            <w:r>
              <w:rPr>
                <w:rFonts w:cs="Arial"/>
                <w:b/>
                <w:bCs/>
                <w:i/>
                <w:iCs/>
                <w:color w:val="FFFFFF"/>
                <w:sz w:val="22"/>
                <w:szCs w:val="20"/>
                <w:lang w:val="en-US"/>
              </w:rPr>
              <w:t xml:space="preserve">UK or </w:t>
            </w:r>
            <w:r w:rsidRPr="00433D3E">
              <w:rPr>
                <w:rFonts w:cs="Arial"/>
                <w:b/>
                <w:bCs/>
                <w:i/>
                <w:iCs/>
                <w:color w:val="FFFFFF"/>
                <w:sz w:val="22"/>
                <w:szCs w:val="20"/>
                <w:lang w:val="en-US"/>
              </w:rPr>
              <w:t>EU</w:t>
            </w:r>
          </w:p>
        </w:tc>
      </w:tr>
      <w:tr w:rsidR="00C70D7B" w:rsidRPr="00A075A3" w14:paraId="7DF52FB7" w14:textId="77777777" w:rsidTr="005652A6">
        <w:tc>
          <w:tcPr>
            <w:tcW w:w="1158" w:type="pct"/>
            <w:gridSpan w:val="2"/>
            <w:shd w:val="clear" w:color="auto" w:fill="auto"/>
            <w:tcMar>
              <w:top w:w="57" w:type="dxa"/>
              <w:bottom w:w="57" w:type="dxa"/>
            </w:tcMar>
          </w:tcPr>
          <w:p w14:paraId="717B195F" w14:textId="77777777" w:rsidR="00C70D7B" w:rsidRDefault="00C70D7B" w:rsidP="005652A6">
            <w:pPr>
              <w:rPr>
                <w:rFonts w:cs="Arial"/>
                <w:szCs w:val="19"/>
              </w:rPr>
            </w:pPr>
            <w:r>
              <w:rPr>
                <w:rFonts w:cs="Arial"/>
                <w:szCs w:val="19"/>
              </w:rPr>
              <w:t xml:space="preserve">Atropine </w:t>
            </w:r>
          </w:p>
        </w:tc>
        <w:tc>
          <w:tcPr>
            <w:tcW w:w="3842" w:type="pct"/>
            <w:shd w:val="clear" w:color="auto" w:fill="auto"/>
            <w:tcMar>
              <w:top w:w="57" w:type="dxa"/>
              <w:bottom w:w="57" w:type="dxa"/>
            </w:tcMar>
          </w:tcPr>
          <w:p w14:paraId="7AAFB111" w14:textId="77777777" w:rsidR="00C70D7B" w:rsidRDefault="00C70D7B" w:rsidP="00C70D7B">
            <w:pPr>
              <w:tabs>
                <w:tab w:val="center" w:pos="3152"/>
              </w:tabs>
              <w:rPr>
                <w:rFonts w:cs="Arial"/>
                <w:sz w:val="16"/>
                <w:szCs w:val="16"/>
                <w:lang w:val="en-US"/>
              </w:rPr>
            </w:pPr>
            <w:r w:rsidRPr="0060083A">
              <w:rPr>
                <w:rFonts w:cs="Arial"/>
                <w:szCs w:val="19"/>
                <w:lang w:val="en-US"/>
              </w:rPr>
              <w:t xml:space="preserve">Myopia in children aged ≥3 years and adolescents </w:t>
            </w:r>
            <w:r w:rsidRPr="0060083A">
              <w:rPr>
                <w:rFonts w:cs="Arial"/>
                <w:sz w:val="16"/>
                <w:szCs w:val="16"/>
                <w:lang w:val="en-US"/>
              </w:rPr>
              <w:t xml:space="preserve">[EU] </w:t>
            </w:r>
          </w:p>
          <w:p w14:paraId="20EB4CFC" w14:textId="33E1DB88" w:rsidR="00C70D7B" w:rsidRDefault="00C70D7B" w:rsidP="00C70D7B">
            <w:pPr>
              <w:tabs>
                <w:tab w:val="center" w:pos="3152"/>
              </w:tabs>
              <w:rPr>
                <w:rFonts w:cs="Arial"/>
                <w:szCs w:val="19"/>
                <w:lang w:val="en-US"/>
              </w:rPr>
            </w:pPr>
            <w:r w:rsidRPr="0060083A">
              <w:rPr>
                <w:rFonts w:cs="Arial"/>
                <w:sz w:val="16"/>
                <w:szCs w:val="16"/>
                <w:lang w:val="en-US"/>
              </w:rPr>
              <w:t>[new eye drop formulation with new indication]</w:t>
            </w:r>
          </w:p>
        </w:tc>
      </w:tr>
      <w:tr w:rsidR="00C70D7B" w:rsidRPr="00A075A3" w14:paraId="5CB8E0D0" w14:textId="77777777" w:rsidTr="005652A6">
        <w:tc>
          <w:tcPr>
            <w:tcW w:w="1158" w:type="pct"/>
            <w:gridSpan w:val="2"/>
            <w:shd w:val="clear" w:color="auto" w:fill="auto"/>
            <w:tcMar>
              <w:top w:w="57" w:type="dxa"/>
              <w:bottom w:w="57" w:type="dxa"/>
            </w:tcMar>
          </w:tcPr>
          <w:p w14:paraId="42348D52" w14:textId="77777777" w:rsidR="00C70D7B" w:rsidRPr="004318A2" w:rsidRDefault="00C70D7B" w:rsidP="005652A6">
            <w:pPr>
              <w:rPr>
                <w:rFonts w:cs="Arial"/>
                <w:szCs w:val="19"/>
              </w:rPr>
            </w:pPr>
            <w:r>
              <w:rPr>
                <w:rFonts w:cs="Arial"/>
                <w:szCs w:val="19"/>
              </w:rPr>
              <w:t>Bevacizumab (</w:t>
            </w:r>
            <w:proofErr w:type="spellStart"/>
            <w:r>
              <w:rPr>
                <w:rFonts w:cs="Arial"/>
                <w:i/>
                <w:iCs/>
                <w:szCs w:val="19"/>
              </w:rPr>
              <w:t>Lytenava</w:t>
            </w:r>
            <w:proofErr w:type="spellEnd"/>
            <w:r>
              <w:rPr>
                <w:rFonts w:cs="Arial"/>
                <w:szCs w:val="19"/>
              </w:rPr>
              <w:t>)</w:t>
            </w:r>
          </w:p>
        </w:tc>
        <w:tc>
          <w:tcPr>
            <w:tcW w:w="3842" w:type="pct"/>
            <w:shd w:val="clear" w:color="auto" w:fill="auto"/>
            <w:tcMar>
              <w:top w:w="57" w:type="dxa"/>
              <w:bottom w:w="57" w:type="dxa"/>
            </w:tcMar>
          </w:tcPr>
          <w:p w14:paraId="751E56C8" w14:textId="77777777" w:rsidR="00C70D7B" w:rsidRDefault="00C70D7B" w:rsidP="005652A6">
            <w:pPr>
              <w:tabs>
                <w:tab w:val="center" w:pos="3152"/>
              </w:tabs>
              <w:rPr>
                <w:rFonts w:cs="Arial"/>
                <w:sz w:val="16"/>
                <w:szCs w:val="16"/>
                <w:lang w:val="en-US"/>
              </w:rPr>
            </w:pPr>
            <w:r>
              <w:rPr>
                <w:rFonts w:cs="Arial"/>
                <w:szCs w:val="19"/>
                <w:lang w:val="en-US"/>
              </w:rPr>
              <w:t xml:space="preserve">Use </w:t>
            </w:r>
            <w:r w:rsidRPr="004318A2">
              <w:rPr>
                <w:rFonts w:cs="Arial"/>
                <w:szCs w:val="19"/>
                <w:lang w:val="en-US"/>
              </w:rPr>
              <w:t>in adults for treatment of neovascular (wet) age-related macular degeneration</w:t>
            </w:r>
            <w:r>
              <w:rPr>
                <w:rFonts w:cs="Arial"/>
                <w:szCs w:val="19"/>
                <w:lang w:val="en-US"/>
              </w:rPr>
              <w:t xml:space="preserve"> </w:t>
            </w:r>
            <w:r w:rsidRPr="004318A2">
              <w:rPr>
                <w:rFonts w:cs="Arial"/>
                <w:sz w:val="16"/>
                <w:szCs w:val="16"/>
                <w:lang w:val="en-US"/>
              </w:rPr>
              <w:t xml:space="preserve">[UK] </w:t>
            </w:r>
          </w:p>
          <w:p w14:paraId="27F42840" w14:textId="77777777" w:rsidR="00C70D7B" w:rsidRPr="00624C7E" w:rsidRDefault="00C70D7B" w:rsidP="005652A6">
            <w:pPr>
              <w:tabs>
                <w:tab w:val="center" w:pos="3152"/>
              </w:tabs>
              <w:rPr>
                <w:rFonts w:cs="Arial"/>
                <w:szCs w:val="19"/>
                <w:lang w:val="en-US"/>
              </w:rPr>
            </w:pPr>
            <w:r w:rsidRPr="004318A2">
              <w:rPr>
                <w:rFonts w:cs="Arial"/>
                <w:sz w:val="16"/>
                <w:szCs w:val="16"/>
                <w:lang w:val="en-US"/>
              </w:rPr>
              <w:t>[new ophthalmic formulation]</w:t>
            </w:r>
          </w:p>
        </w:tc>
      </w:tr>
      <w:tr w:rsidR="00C70D7B" w:rsidRPr="00A075A3" w14:paraId="325F57EC" w14:textId="77777777" w:rsidTr="005652A6">
        <w:tc>
          <w:tcPr>
            <w:tcW w:w="1158" w:type="pct"/>
            <w:gridSpan w:val="2"/>
            <w:shd w:val="clear" w:color="auto" w:fill="auto"/>
            <w:tcMar>
              <w:top w:w="57" w:type="dxa"/>
              <w:bottom w:w="57" w:type="dxa"/>
            </w:tcMar>
          </w:tcPr>
          <w:p w14:paraId="3B9562EE" w14:textId="77777777" w:rsidR="00C70D7B" w:rsidRDefault="00C70D7B" w:rsidP="005652A6">
            <w:pPr>
              <w:rPr>
                <w:rFonts w:cs="Arial"/>
                <w:szCs w:val="19"/>
              </w:rPr>
            </w:pPr>
            <w:r w:rsidRPr="000E7890">
              <w:rPr>
                <w:rFonts w:cs="Arial"/>
                <w:szCs w:val="19"/>
              </w:rPr>
              <w:t xml:space="preserve">Brentuximab </w:t>
            </w:r>
            <w:proofErr w:type="spellStart"/>
            <w:r w:rsidRPr="000E7890">
              <w:rPr>
                <w:rFonts w:cs="Arial"/>
                <w:szCs w:val="19"/>
              </w:rPr>
              <w:t>vedotin</w:t>
            </w:r>
            <w:proofErr w:type="spellEnd"/>
            <w:r w:rsidRPr="000E7890">
              <w:rPr>
                <w:rFonts w:cs="Arial"/>
                <w:szCs w:val="19"/>
              </w:rPr>
              <w:t> </w:t>
            </w:r>
          </w:p>
          <w:p w14:paraId="6D01165B" w14:textId="77777777" w:rsidR="00C70D7B" w:rsidRPr="000E7890" w:rsidRDefault="00C70D7B" w:rsidP="005652A6">
            <w:pPr>
              <w:rPr>
                <w:rFonts w:cs="Arial"/>
                <w:szCs w:val="19"/>
              </w:rPr>
            </w:pPr>
            <w:r>
              <w:rPr>
                <w:rFonts w:cs="Arial"/>
                <w:szCs w:val="19"/>
              </w:rPr>
              <w:t>(</w:t>
            </w:r>
            <w:proofErr w:type="spellStart"/>
            <w:r>
              <w:rPr>
                <w:rFonts w:cs="Arial"/>
                <w:i/>
                <w:iCs/>
                <w:szCs w:val="19"/>
              </w:rPr>
              <w:t>Adcetris</w:t>
            </w:r>
            <w:proofErr w:type="spellEnd"/>
            <w:r>
              <w:rPr>
                <w:rFonts w:cs="Arial"/>
                <w:szCs w:val="19"/>
              </w:rPr>
              <w:t>)</w:t>
            </w:r>
          </w:p>
        </w:tc>
        <w:tc>
          <w:tcPr>
            <w:tcW w:w="3842" w:type="pct"/>
            <w:shd w:val="clear" w:color="auto" w:fill="auto"/>
            <w:tcMar>
              <w:top w:w="57" w:type="dxa"/>
              <w:bottom w:w="57" w:type="dxa"/>
            </w:tcMar>
          </w:tcPr>
          <w:p w14:paraId="5DC38F5A" w14:textId="77777777" w:rsidR="00C70D7B" w:rsidRPr="00566F61" w:rsidRDefault="00C70D7B" w:rsidP="005652A6">
            <w:pPr>
              <w:tabs>
                <w:tab w:val="center" w:pos="3152"/>
              </w:tabs>
              <w:rPr>
                <w:rFonts w:cs="Arial"/>
                <w:szCs w:val="19"/>
                <w:lang w:val="en-US"/>
              </w:rPr>
            </w:pPr>
            <w:r w:rsidRPr="000E7890">
              <w:rPr>
                <w:rFonts w:cs="Arial"/>
                <w:szCs w:val="19"/>
                <w:lang w:val="en-US"/>
              </w:rPr>
              <w:t>Treatment of adults with previously untreated CD30+ Stage IIB with risk factors, Stage III or Stage IV H</w:t>
            </w:r>
            <w:r>
              <w:rPr>
                <w:rFonts w:cs="Arial"/>
                <w:szCs w:val="19"/>
                <w:lang w:val="en-US"/>
              </w:rPr>
              <w:t>odgkin lymphoma</w:t>
            </w:r>
            <w:r w:rsidRPr="000E7890">
              <w:rPr>
                <w:rFonts w:cs="Arial"/>
                <w:szCs w:val="19"/>
                <w:lang w:val="en-US"/>
              </w:rPr>
              <w:t xml:space="preserve"> in combination with etoposide, cyclophosphamide, doxorubicin, dacarbazine, dexamethasone</w:t>
            </w:r>
            <w:r>
              <w:rPr>
                <w:rFonts w:cs="Arial"/>
                <w:szCs w:val="19"/>
                <w:lang w:val="en-US"/>
              </w:rPr>
              <w:t xml:space="preserve"> </w:t>
            </w:r>
            <w:r w:rsidRPr="000E7890">
              <w:rPr>
                <w:rFonts w:cs="Arial"/>
                <w:sz w:val="16"/>
                <w:szCs w:val="16"/>
                <w:lang w:val="en-US"/>
              </w:rPr>
              <w:t>[EU] [new indication]</w:t>
            </w:r>
          </w:p>
        </w:tc>
      </w:tr>
      <w:tr w:rsidR="00C70D7B" w:rsidRPr="00A075A3" w14:paraId="44A3DA35" w14:textId="77777777" w:rsidTr="005652A6">
        <w:tc>
          <w:tcPr>
            <w:tcW w:w="1158" w:type="pct"/>
            <w:gridSpan w:val="2"/>
            <w:shd w:val="clear" w:color="auto" w:fill="auto"/>
            <w:tcMar>
              <w:top w:w="57" w:type="dxa"/>
              <w:bottom w:w="57" w:type="dxa"/>
            </w:tcMar>
          </w:tcPr>
          <w:p w14:paraId="0EBCC59D" w14:textId="77777777" w:rsidR="00C70D7B" w:rsidRDefault="00C70D7B" w:rsidP="005652A6">
            <w:pPr>
              <w:rPr>
                <w:rFonts w:cs="Arial"/>
                <w:szCs w:val="19"/>
              </w:rPr>
            </w:pPr>
            <w:r>
              <w:rPr>
                <w:rFonts w:cs="Arial"/>
                <w:szCs w:val="19"/>
              </w:rPr>
              <w:t>D</w:t>
            </w:r>
            <w:r w:rsidRPr="000464B6">
              <w:rPr>
                <w:rFonts w:cs="Arial"/>
                <w:szCs w:val="19"/>
              </w:rPr>
              <w:t xml:space="preserve">enosumab biosimilar </w:t>
            </w:r>
            <w:r>
              <w:rPr>
                <w:rFonts w:cs="Arial"/>
                <w:szCs w:val="19"/>
              </w:rPr>
              <w:t xml:space="preserve">– </w:t>
            </w:r>
            <w:r w:rsidRPr="000464B6">
              <w:rPr>
                <w:rFonts w:cs="Arial"/>
                <w:szCs w:val="19"/>
              </w:rPr>
              <w:t>HLX14 </w:t>
            </w:r>
          </w:p>
        </w:tc>
        <w:tc>
          <w:tcPr>
            <w:tcW w:w="3842" w:type="pct"/>
            <w:shd w:val="clear" w:color="auto" w:fill="auto"/>
            <w:tcMar>
              <w:top w:w="57" w:type="dxa"/>
              <w:bottom w:w="57" w:type="dxa"/>
            </w:tcMar>
          </w:tcPr>
          <w:p w14:paraId="7AF5D972" w14:textId="77777777" w:rsidR="00C70D7B" w:rsidRPr="000464B6" w:rsidRDefault="00C70D7B" w:rsidP="005652A6">
            <w:pPr>
              <w:tabs>
                <w:tab w:val="center" w:pos="3152"/>
              </w:tabs>
              <w:rPr>
                <w:rFonts w:cs="Arial"/>
                <w:szCs w:val="19"/>
                <w:lang w:val="en-US"/>
              </w:rPr>
            </w:pPr>
            <w:r w:rsidRPr="00566F61">
              <w:rPr>
                <w:rFonts w:cs="Arial"/>
                <w:szCs w:val="19"/>
                <w:lang w:val="en-US"/>
              </w:rPr>
              <w:t xml:space="preserve">Postmenopausal osteoporosis </w:t>
            </w:r>
            <w:r w:rsidRPr="00566F61">
              <w:rPr>
                <w:rFonts w:cs="Arial"/>
                <w:szCs w:val="19"/>
                <w:lang w:val="en-US"/>
              </w:rPr>
              <w:tab/>
              <w:t xml:space="preserve">and other </w:t>
            </w:r>
            <w:r w:rsidRPr="00566F61">
              <w:rPr>
                <w:rFonts w:cs="Arial"/>
                <w:i/>
                <w:iCs/>
                <w:szCs w:val="19"/>
                <w:lang w:val="en-US"/>
              </w:rPr>
              <w:t>Prolia</w:t>
            </w:r>
            <w:r w:rsidRPr="00566F61">
              <w:rPr>
                <w:rFonts w:cs="Arial"/>
                <w:szCs w:val="19"/>
                <w:lang w:val="en-US"/>
              </w:rPr>
              <w:t xml:space="preserve"> indications </w:t>
            </w:r>
            <w:r w:rsidRPr="00464A12">
              <w:rPr>
                <w:rFonts w:cs="Arial"/>
                <w:sz w:val="16"/>
                <w:szCs w:val="16"/>
                <w:lang w:val="en-US"/>
              </w:rPr>
              <w:t>[EU]</w:t>
            </w:r>
          </w:p>
        </w:tc>
      </w:tr>
      <w:tr w:rsidR="00C70D7B" w:rsidRPr="00A075A3" w14:paraId="329DA448" w14:textId="77777777" w:rsidTr="005652A6">
        <w:tc>
          <w:tcPr>
            <w:tcW w:w="1158" w:type="pct"/>
            <w:gridSpan w:val="2"/>
            <w:shd w:val="clear" w:color="auto" w:fill="auto"/>
            <w:tcMar>
              <w:top w:w="57" w:type="dxa"/>
              <w:bottom w:w="57" w:type="dxa"/>
            </w:tcMar>
          </w:tcPr>
          <w:p w14:paraId="5CF6FD64" w14:textId="77777777" w:rsidR="00C70D7B" w:rsidRPr="00624C7E" w:rsidRDefault="00C70D7B" w:rsidP="005652A6">
            <w:pPr>
              <w:rPr>
                <w:rFonts w:cs="Arial"/>
                <w:szCs w:val="19"/>
              </w:rPr>
            </w:pPr>
            <w:r>
              <w:rPr>
                <w:rFonts w:cs="Arial"/>
                <w:szCs w:val="19"/>
              </w:rPr>
              <w:t>D</w:t>
            </w:r>
            <w:r w:rsidRPr="000464B6">
              <w:rPr>
                <w:rFonts w:cs="Arial"/>
                <w:szCs w:val="19"/>
              </w:rPr>
              <w:t xml:space="preserve">enosumab biosimilar </w:t>
            </w:r>
            <w:r>
              <w:rPr>
                <w:rFonts w:cs="Arial"/>
                <w:szCs w:val="19"/>
              </w:rPr>
              <w:t xml:space="preserve">– </w:t>
            </w:r>
            <w:r w:rsidRPr="000464B6">
              <w:rPr>
                <w:rFonts w:cs="Arial"/>
                <w:szCs w:val="19"/>
              </w:rPr>
              <w:t>HLX14 </w:t>
            </w:r>
          </w:p>
        </w:tc>
        <w:tc>
          <w:tcPr>
            <w:tcW w:w="3842" w:type="pct"/>
            <w:shd w:val="clear" w:color="auto" w:fill="auto"/>
            <w:tcMar>
              <w:top w:w="57" w:type="dxa"/>
              <w:bottom w:w="57" w:type="dxa"/>
            </w:tcMar>
          </w:tcPr>
          <w:p w14:paraId="0A63D2E0" w14:textId="77777777" w:rsidR="00C70D7B" w:rsidRPr="00624C7E" w:rsidRDefault="00C70D7B" w:rsidP="005652A6">
            <w:pPr>
              <w:tabs>
                <w:tab w:val="center" w:pos="3152"/>
              </w:tabs>
              <w:rPr>
                <w:rFonts w:cs="Arial"/>
                <w:szCs w:val="19"/>
                <w:lang w:val="en-US"/>
              </w:rPr>
            </w:pPr>
            <w:r w:rsidRPr="000464B6">
              <w:rPr>
                <w:rFonts w:cs="Arial"/>
                <w:szCs w:val="19"/>
                <w:lang w:val="en-US"/>
              </w:rPr>
              <w:t xml:space="preserve">Prevention of skeletal related events in adults with advanced malignancies involving bone and other </w:t>
            </w:r>
            <w:proofErr w:type="spellStart"/>
            <w:r w:rsidRPr="000464B6">
              <w:rPr>
                <w:rFonts w:cs="Arial"/>
                <w:i/>
                <w:iCs/>
                <w:szCs w:val="19"/>
                <w:lang w:val="en-US"/>
              </w:rPr>
              <w:t>Xgeva</w:t>
            </w:r>
            <w:proofErr w:type="spellEnd"/>
            <w:r w:rsidRPr="000464B6">
              <w:rPr>
                <w:rFonts w:cs="Arial"/>
                <w:szCs w:val="19"/>
                <w:lang w:val="en-US"/>
              </w:rPr>
              <w:t xml:space="preserve"> indications</w:t>
            </w:r>
            <w:r>
              <w:rPr>
                <w:rFonts w:cs="Arial"/>
                <w:szCs w:val="19"/>
                <w:lang w:val="en-US"/>
              </w:rPr>
              <w:t xml:space="preserve"> </w:t>
            </w:r>
            <w:r w:rsidRPr="00464A12">
              <w:rPr>
                <w:rFonts w:cs="Arial"/>
                <w:sz w:val="16"/>
                <w:szCs w:val="16"/>
                <w:lang w:val="en-US"/>
              </w:rPr>
              <w:t>[EU]</w:t>
            </w:r>
          </w:p>
        </w:tc>
      </w:tr>
      <w:tr w:rsidR="00C70D7B" w:rsidRPr="00A075A3" w14:paraId="0FCAEFDA" w14:textId="77777777" w:rsidTr="005652A6">
        <w:tc>
          <w:tcPr>
            <w:tcW w:w="1158" w:type="pct"/>
            <w:gridSpan w:val="2"/>
            <w:shd w:val="clear" w:color="auto" w:fill="auto"/>
            <w:tcMar>
              <w:top w:w="57" w:type="dxa"/>
              <w:bottom w:w="57" w:type="dxa"/>
            </w:tcMar>
          </w:tcPr>
          <w:p w14:paraId="64B42DE1" w14:textId="77777777" w:rsidR="00C70D7B" w:rsidRPr="00C466BC" w:rsidRDefault="00C70D7B" w:rsidP="005652A6">
            <w:pPr>
              <w:rPr>
                <w:rFonts w:cs="Arial"/>
                <w:szCs w:val="19"/>
              </w:rPr>
            </w:pPr>
            <w:proofErr w:type="spellStart"/>
            <w:r w:rsidRPr="00624C7E">
              <w:rPr>
                <w:rFonts w:cs="Arial"/>
                <w:szCs w:val="19"/>
              </w:rPr>
              <w:t>Deutivacaftor</w:t>
            </w:r>
            <w:proofErr w:type="spellEnd"/>
            <w:r w:rsidRPr="00624C7E">
              <w:rPr>
                <w:rFonts w:cs="Arial"/>
                <w:szCs w:val="19"/>
              </w:rPr>
              <w:t xml:space="preserve"> + </w:t>
            </w:r>
            <w:proofErr w:type="spellStart"/>
            <w:r w:rsidRPr="00624C7E">
              <w:rPr>
                <w:rFonts w:cs="Arial"/>
                <w:szCs w:val="19"/>
              </w:rPr>
              <w:t>tezacaftor</w:t>
            </w:r>
            <w:proofErr w:type="spellEnd"/>
            <w:r w:rsidRPr="00624C7E">
              <w:rPr>
                <w:rFonts w:cs="Arial"/>
                <w:szCs w:val="19"/>
              </w:rPr>
              <w:t xml:space="preserve"> + </w:t>
            </w:r>
            <w:proofErr w:type="spellStart"/>
            <w:r w:rsidRPr="00624C7E">
              <w:rPr>
                <w:rFonts w:cs="Arial"/>
                <w:szCs w:val="19"/>
              </w:rPr>
              <w:t>vanzacaftor</w:t>
            </w:r>
            <w:proofErr w:type="spellEnd"/>
            <w:r w:rsidRPr="00624C7E">
              <w:rPr>
                <w:rFonts w:cs="Arial"/>
                <w:szCs w:val="19"/>
              </w:rPr>
              <w:t> </w:t>
            </w:r>
          </w:p>
        </w:tc>
        <w:tc>
          <w:tcPr>
            <w:tcW w:w="3842" w:type="pct"/>
            <w:shd w:val="clear" w:color="auto" w:fill="auto"/>
            <w:tcMar>
              <w:top w:w="57" w:type="dxa"/>
              <w:bottom w:w="57" w:type="dxa"/>
            </w:tcMar>
          </w:tcPr>
          <w:p w14:paraId="6F50F4C4" w14:textId="77777777" w:rsidR="00C70D7B" w:rsidRPr="00A075A3" w:rsidRDefault="00C70D7B" w:rsidP="005652A6">
            <w:pPr>
              <w:tabs>
                <w:tab w:val="center" w:pos="3152"/>
              </w:tabs>
              <w:rPr>
                <w:rFonts w:cs="Arial"/>
                <w:szCs w:val="19"/>
                <w:lang w:val="en-US"/>
              </w:rPr>
            </w:pPr>
            <w:r w:rsidRPr="00624C7E">
              <w:rPr>
                <w:rFonts w:cs="Arial"/>
                <w:szCs w:val="19"/>
                <w:lang w:val="en-US"/>
              </w:rPr>
              <w:t xml:space="preserve">Cystic fibrosis </w:t>
            </w:r>
            <w:r w:rsidRPr="00624C7E">
              <w:rPr>
                <w:rFonts w:cs="Arial"/>
                <w:szCs w:val="19"/>
                <w:lang w:val="en-US"/>
              </w:rPr>
              <w:tab/>
              <w:t xml:space="preserve">in patients aged </w:t>
            </w:r>
            <w:r>
              <w:rPr>
                <w:rFonts w:cs="Arial"/>
                <w:szCs w:val="19"/>
                <w:lang w:val="en-US"/>
              </w:rPr>
              <w:t>≥</w:t>
            </w:r>
            <w:r w:rsidRPr="00624C7E">
              <w:rPr>
                <w:rFonts w:cs="Arial"/>
                <w:szCs w:val="19"/>
                <w:lang w:val="en-US"/>
              </w:rPr>
              <w:t xml:space="preserve">6 years with </w:t>
            </w:r>
            <w:r>
              <w:rPr>
                <w:rFonts w:cs="Arial"/>
                <w:szCs w:val="19"/>
                <w:lang w:val="en-US"/>
              </w:rPr>
              <w:t>≥1</w:t>
            </w:r>
            <w:r w:rsidRPr="00624C7E">
              <w:rPr>
                <w:rFonts w:cs="Arial"/>
                <w:szCs w:val="19"/>
                <w:lang w:val="en-US"/>
              </w:rPr>
              <w:t xml:space="preserve"> F508del mutation in the CFTR gene</w:t>
            </w:r>
            <w:r>
              <w:rPr>
                <w:rFonts w:cs="Arial"/>
                <w:szCs w:val="19"/>
                <w:lang w:val="en-US"/>
              </w:rPr>
              <w:t xml:space="preserve"> </w:t>
            </w:r>
            <w:r w:rsidRPr="00624C7E">
              <w:rPr>
                <w:rFonts w:cs="Arial"/>
                <w:sz w:val="16"/>
                <w:szCs w:val="16"/>
                <w:lang w:val="en-US"/>
              </w:rPr>
              <w:t>[EU]</w:t>
            </w:r>
          </w:p>
        </w:tc>
      </w:tr>
      <w:tr w:rsidR="00C70D7B" w:rsidRPr="00A075A3" w14:paraId="6E449BA3" w14:textId="77777777" w:rsidTr="005652A6">
        <w:tc>
          <w:tcPr>
            <w:tcW w:w="1158" w:type="pct"/>
            <w:gridSpan w:val="2"/>
            <w:shd w:val="clear" w:color="auto" w:fill="auto"/>
            <w:tcMar>
              <w:top w:w="57" w:type="dxa"/>
              <w:bottom w:w="57" w:type="dxa"/>
            </w:tcMar>
          </w:tcPr>
          <w:p w14:paraId="7760405B" w14:textId="77777777" w:rsidR="00C70D7B" w:rsidRPr="00896AE9" w:rsidRDefault="00C70D7B" w:rsidP="005652A6">
            <w:pPr>
              <w:rPr>
                <w:rFonts w:cs="Arial"/>
                <w:szCs w:val="19"/>
              </w:rPr>
            </w:pPr>
            <w:r w:rsidRPr="001A2450">
              <w:rPr>
                <w:rFonts w:cs="Arial"/>
                <w:szCs w:val="19"/>
              </w:rPr>
              <w:t>Eflornithine</w:t>
            </w:r>
            <w:r>
              <w:rPr>
                <w:rFonts w:cs="Arial"/>
                <w:szCs w:val="19"/>
              </w:rPr>
              <w:t xml:space="preserve"> (</w:t>
            </w:r>
            <w:proofErr w:type="spellStart"/>
            <w:r w:rsidRPr="001A2450">
              <w:rPr>
                <w:rFonts w:cs="Arial"/>
                <w:i/>
                <w:iCs/>
                <w:szCs w:val="19"/>
              </w:rPr>
              <w:t>Iwilfin</w:t>
            </w:r>
            <w:proofErr w:type="spellEnd"/>
            <w:r>
              <w:rPr>
                <w:rFonts w:cs="Arial"/>
                <w:szCs w:val="19"/>
              </w:rPr>
              <w:t>)</w:t>
            </w:r>
          </w:p>
        </w:tc>
        <w:tc>
          <w:tcPr>
            <w:tcW w:w="3842" w:type="pct"/>
            <w:shd w:val="clear" w:color="auto" w:fill="auto"/>
            <w:tcMar>
              <w:top w:w="57" w:type="dxa"/>
              <w:bottom w:w="57" w:type="dxa"/>
            </w:tcMar>
          </w:tcPr>
          <w:p w14:paraId="4291CBCF" w14:textId="77777777" w:rsidR="00C70D7B" w:rsidRPr="00A075A3" w:rsidRDefault="00C70D7B" w:rsidP="005652A6">
            <w:pPr>
              <w:tabs>
                <w:tab w:val="center" w:pos="3152"/>
              </w:tabs>
              <w:rPr>
                <w:rFonts w:cs="Arial"/>
                <w:szCs w:val="19"/>
                <w:lang w:val="en-US"/>
              </w:rPr>
            </w:pPr>
            <w:r>
              <w:rPr>
                <w:rFonts w:cs="Arial"/>
                <w:szCs w:val="19"/>
                <w:lang w:val="en-US"/>
              </w:rPr>
              <w:t xml:space="preserve">High-risk neuroblastoma in adults and children </w:t>
            </w:r>
            <w:r w:rsidRPr="001A2450">
              <w:rPr>
                <w:rFonts w:cs="Arial"/>
                <w:sz w:val="16"/>
                <w:szCs w:val="16"/>
                <w:lang w:val="en-US"/>
              </w:rPr>
              <w:t>[UK]</w:t>
            </w:r>
            <w:r>
              <w:rPr>
                <w:rFonts w:cs="Arial"/>
                <w:sz w:val="16"/>
                <w:szCs w:val="16"/>
                <w:lang w:val="en-US"/>
              </w:rPr>
              <w:t xml:space="preserve"> [new oral formulation with new indication]</w:t>
            </w:r>
          </w:p>
        </w:tc>
      </w:tr>
      <w:tr w:rsidR="00C70D7B" w:rsidRPr="00A075A3" w14:paraId="00A142D7" w14:textId="77777777" w:rsidTr="005652A6">
        <w:tc>
          <w:tcPr>
            <w:tcW w:w="1158" w:type="pct"/>
            <w:gridSpan w:val="2"/>
            <w:shd w:val="clear" w:color="auto" w:fill="auto"/>
            <w:tcMar>
              <w:top w:w="57" w:type="dxa"/>
              <w:bottom w:w="57" w:type="dxa"/>
            </w:tcMar>
          </w:tcPr>
          <w:p w14:paraId="5913BB71" w14:textId="77777777" w:rsidR="00C70D7B" w:rsidRPr="003B38A0" w:rsidRDefault="00C70D7B" w:rsidP="005652A6">
            <w:pPr>
              <w:rPr>
                <w:rFonts w:cs="Arial"/>
                <w:szCs w:val="19"/>
              </w:rPr>
            </w:pPr>
            <w:proofErr w:type="spellStart"/>
            <w:r>
              <w:rPr>
                <w:rFonts w:cs="Arial"/>
                <w:szCs w:val="19"/>
              </w:rPr>
              <w:t>Evinacumab</w:t>
            </w:r>
            <w:proofErr w:type="spellEnd"/>
            <w:r>
              <w:rPr>
                <w:rFonts w:cs="Arial"/>
                <w:szCs w:val="19"/>
              </w:rPr>
              <w:t xml:space="preserve"> (</w:t>
            </w:r>
            <w:proofErr w:type="spellStart"/>
            <w:r>
              <w:rPr>
                <w:rFonts w:cs="Arial"/>
                <w:i/>
                <w:iCs/>
                <w:szCs w:val="19"/>
              </w:rPr>
              <w:t>Evkeeza</w:t>
            </w:r>
            <w:proofErr w:type="spellEnd"/>
            <w:r>
              <w:rPr>
                <w:rFonts w:cs="Arial"/>
                <w:szCs w:val="19"/>
              </w:rPr>
              <w:t>)</w:t>
            </w:r>
          </w:p>
        </w:tc>
        <w:tc>
          <w:tcPr>
            <w:tcW w:w="3842" w:type="pct"/>
            <w:shd w:val="clear" w:color="auto" w:fill="auto"/>
            <w:tcMar>
              <w:top w:w="57" w:type="dxa"/>
              <w:bottom w:w="57" w:type="dxa"/>
            </w:tcMar>
          </w:tcPr>
          <w:p w14:paraId="650AC85F" w14:textId="77777777" w:rsidR="00C70D7B" w:rsidRDefault="00C70D7B" w:rsidP="005652A6">
            <w:pPr>
              <w:tabs>
                <w:tab w:val="center" w:pos="3152"/>
              </w:tabs>
              <w:rPr>
                <w:rFonts w:cs="Arial"/>
                <w:sz w:val="16"/>
                <w:szCs w:val="16"/>
                <w:lang w:val="en-US"/>
              </w:rPr>
            </w:pPr>
            <w:r w:rsidRPr="003B38A0">
              <w:rPr>
                <w:rFonts w:cs="Arial"/>
                <w:szCs w:val="19"/>
                <w:lang w:val="en-US"/>
              </w:rPr>
              <w:t xml:space="preserve">Treatment of paediatric patients with homozygous familial hypercholesterolaemia aged 6 months to </w:t>
            </w:r>
            <w:r>
              <w:rPr>
                <w:rFonts w:cs="Arial"/>
                <w:szCs w:val="19"/>
                <w:lang w:val="en-US"/>
              </w:rPr>
              <w:t>4</w:t>
            </w:r>
            <w:r w:rsidRPr="003B38A0">
              <w:rPr>
                <w:rFonts w:cs="Arial"/>
                <w:szCs w:val="19"/>
                <w:lang w:val="en-US"/>
              </w:rPr>
              <w:t xml:space="preserve"> years</w:t>
            </w:r>
            <w:r>
              <w:rPr>
                <w:rFonts w:cs="Arial"/>
                <w:szCs w:val="19"/>
                <w:lang w:val="en-US"/>
              </w:rPr>
              <w:t xml:space="preserve"> </w:t>
            </w:r>
            <w:r w:rsidRPr="00525AC4">
              <w:rPr>
                <w:rFonts w:cs="Arial"/>
                <w:sz w:val="16"/>
                <w:szCs w:val="16"/>
                <w:lang w:val="en-US"/>
              </w:rPr>
              <w:t>[EU]</w:t>
            </w:r>
            <w:r>
              <w:rPr>
                <w:rFonts w:cs="Arial"/>
                <w:sz w:val="16"/>
                <w:szCs w:val="16"/>
                <w:lang w:val="en-US"/>
              </w:rPr>
              <w:t xml:space="preserve"> [licence change from use only in adults and children aged ≥5 years] </w:t>
            </w:r>
          </w:p>
          <w:p w14:paraId="69B5DB0C" w14:textId="77777777" w:rsidR="00C70D7B" w:rsidRPr="003B38A0" w:rsidRDefault="00C70D7B" w:rsidP="005652A6">
            <w:pPr>
              <w:tabs>
                <w:tab w:val="center" w:pos="3152"/>
              </w:tabs>
              <w:rPr>
                <w:rFonts w:cs="Arial"/>
                <w:i/>
                <w:iCs/>
                <w:szCs w:val="19"/>
                <w:lang w:val="en-US"/>
              </w:rPr>
            </w:pPr>
            <w:r>
              <w:rPr>
                <w:rFonts w:cs="Arial"/>
                <w:i/>
                <w:iCs/>
                <w:sz w:val="16"/>
                <w:szCs w:val="16"/>
                <w:lang w:val="en-US"/>
              </w:rPr>
              <w:t xml:space="preserve">Note: In the UK, currently only licensed for use </w:t>
            </w:r>
            <w:r w:rsidRPr="003B38A0">
              <w:rPr>
                <w:rFonts w:cs="Arial"/>
                <w:i/>
                <w:iCs/>
                <w:sz w:val="16"/>
                <w:szCs w:val="16"/>
                <w:lang w:val="en-US"/>
              </w:rPr>
              <w:t>in adults and adolescents aged ≥12 years</w:t>
            </w:r>
          </w:p>
        </w:tc>
      </w:tr>
      <w:tr w:rsidR="00C70D7B" w:rsidRPr="00A075A3" w14:paraId="40492BC8" w14:textId="77777777" w:rsidTr="005652A6">
        <w:tc>
          <w:tcPr>
            <w:tcW w:w="1158" w:type="pct"/>
            <w:gridSpan w:val="2"/>
            <w:shd w:val="clear" w:color="auto" w:fill="auto"/>
            <w:tcMar>
              <w:top w:w="57" w:type="dxa"/>
              <w:bottom w:w="57" w:type="dxa"/>
            </w:tcMar>
          </w:tcPr>
          <w:p w14:paraId="458DDFA9" w14:textId="77777777" w:rsidR="00C70D7B" w:rsidRPr="00525AC4" w:rsidRDefault="00C70D7B" w:rsidP="005652A6">
            <w:pPr>
              <w:rPr>
                <w:rFonts w:cs="Arial"/>
                <w:i/>
                <w:iCs/>
                <w:szCs w:val="19"/>
              </w:rPr>
            </w:pPr>
            <w:proofErr w:type="spellStart"/>
            <w:r w:rsidRPr="008A7549">
              <w:rPr>
                <w:rFonts w:cs="Arial"/>
                <w:szCs w:val="19"/>
              </w:rPr>
              <w:t>Guselkumab</w:t>
            </w:r>
            <w:proofErr w:type="spellEnd"/>
            <w:r>
              <w:rPr>
                <w:rFonts w:cs="Arial"/>
                <w:szCs w:val="19"/>
              </w:rPr>
              <w:t xml:space="preserve"> (</w:t>
            </w:r>
            <w:r>
              <w:rPr>
                <w:rFonts w:cs="Arial"/>
                <w:i/>
                <w:iCs/>
                <w:szCs w:val="19"/>
              </w:rPr>
              <w:t>Tremfya</w:t>
            </w:r>
            <w:r>
              <w:rPr>
                <w:rFonts w:cs="Arial"/>
                <w:szCs w:val="19"/>
              </w:rPr>
              <w:t>)</w:t>
            </w:r>
          </w:p>
        </w:tc>
        <w:tc>
          <w:tcPr>
            <w:tcW w:w="3842" w:type="pct"/>
            <w:shd w:val="clear" w:color="auto" w:fill="auto"/>
            <w:tcMar>
              <w:top w:w="57" w:type="dxa"/>
              <w:bottom w:w="57" w:type="dxa"/>
            </w:tcMar>
          </w:tcPr>
          <w:p w14:paraId="6ECA4104" w14:textId="77777777" w:rsidR="00C70D7B" w:rsidRDefault="00C70D7B" w:rsidP="005652A6">
            <w:pPr>
              <w:tabs>
                <w:tab w:val="center" w:pos="3152"/>
              </w:tabs>
              <w:rPr>
                <w:rFonts w:cs="Arial"/>
                <w:sz w:val="16"/>
                <w:szCs w:val="16"/>
                <w:lang w:val="en-US"/>
              </w:rPr>
            </w:pPr>
            <w:r>
              <w:rPr>
                <w:rFonts w:cs="Arial"/>
                <w:szCs w:val="19"/>
                <w:lang w:val="en-US"/>
              </w:rPr>
              <w:t>A</w:t>
            </w:r>
            <w:r w:rsidRPr="00525AC4">
              <w:rPr>
                <w:rFonts w:cs="Arial"/>
                <w:szCs w:val="19"/>
                <w:lang w:val="en-US"/>
              </w:rPr>
              <w:t xml:space="preserve">ctive, moderate to severe Crohn's disease in adults </w:t>
            </w:r>
            <w:r w:rsidRPr="00525AC4">
              <w:rPr>
                <w:rFonts w:cs="Arial"/>
                <w:sz w:val="16"/>
                <w:szCs w:val="16"/>
                <w:lang w:val="en-US"/>
              </w:rPr>
              <w:t xml:space="preserve">[EU] </w:t>
            </w:r>
          </w:p>
          <w:p w14:paraId="602D2DF6" w14:textId="77777777" w:rsidR="00C70D7B" w:rsidRPr="00A075A3" w:rsidRDefault="00C70D7B" w:rsidP="005652A6">
            <w:pPr>
              <w:tabs>
                <w:tab w:val="center" w:pos="3152"/>
              </w:tabs>
              <w:rPr>
                <w:rFonts w:cs="Arial"/>
                <w:szCs w:val="19"/>
                <w:lang w:val="en-US"/>
              </w:rPr>
            </w:pPr>
            <w:r w:rsidRPr="008A7549">
              <w:rPr>
                <w:rFonts w:cs="Arial"/>
                <w:sz w:val="16"/>
                <w:szCs w:val="16"/>
                <w:lang w:val="en-US"/>
              </w:rPr>
              <w:t>[new indication</w:t>
            </w:r>
            <w:r>
              <w:rPr>
                <w:rFonts w:cs="Arial"/>
                <w:sz w:val="16"/>
                <w:szCs w:val="16"/>
                <w:lang w:val="en-US"/>
              </w:rPr>
              <w:t xml:space="preserve"> and new intravenous formulation, for</w:t>
            </w:r>
            <w:r w:rsidRPr="00CB2AEC">
              <w:rPr>
                <w:rFonts w:cs="Arial"/>
                <w:sz w:val="16"/>
                <w:szCs w:val="16"/>
                <w:lang w:val="en-US"/>
              </w:rPr>
              <w:t xml:space="preserve"> intravenous induction and subcutaneous maintenance</w:t>
            </w:r>
            <w:r w:rsidRPr="008A7549">
              <w:rPr>
                <w:rFonts w:cs="Arial"/>
                <w:sz w:val="16"/>
                <w:szCs w:val="16"/>
                <w:lang w:val="en-US"/>
              </w:rPr>
              <w:t>]</w:t>
            </w:r>
          </w:p>
        </w:tc>
      </w:tr>
      <w:tr w:rsidR="00C70D7B" w:rsidRPr="00A075A3" w14:paraId="41A63F41" w14:textId="77777777" w:rsidTr="005652A6">
        <w:tc>
          <w:tcPr>
            <w:tcW w:w="1158" w:type="pct"/>
            <w:gridSpan w:val="2"/>
            <w:shd w:val="clear" w:color="auto" w:fill="auto"/>
            <w:tcMar>
              <w:top w:w="57" w:type="dxa"/>
              <w:bottom w:w="57" w:type="dxa"/>
            </w:tcMar>
          </w:tcPr>
          <w:p w14:paraId="52216355" w14:textId="77777777" w:rsidR="00C70D7B" w:rsidRPr="008A7549" w:rsidRDefault="00C70D7B" w:rsidP="005652A6">
            <w:pPr>
              <w:rPr>
                <w:rFonts w:cs="Arial"/>
                <w:szCs w:val="19"/>
              </w:rPr>
            </w:pPr>
            <w:proofErr w:type="spellStart"/>
            <w:r w:rsidRPr="008A7549">
              <w:rPr>
                <w:rFonts w:cs="Arial"/>
                <w:szCs w:val="19"/>
              </w:rPr>
              <w:t>Guselkumab</w:t>
            </w:r>
            <w:proofErr w:type="spellEnd"/>
            <w:r>
              <w:rPr>
                <w:rFonts w:cs="Arial"/>
                <w:szCs w:val="19"/>
              </w:rPr>
              <w:t xml:space="preserve"> (</w:t>
            </w:r>
            <w:r>
              <w:rPr>
                <w:rFonts w:cs="Arial"/>
                <w:i/>
                <w:iCs/>
                <w:szCs w:val="19"/>
              </w:rPr>
              <w:t>Tremfya</w:t>
            </w:r>
            <w:r>
              <w:rPr>
                <w:rFonts w:cs="Arial"/>
                <w:szCs w:val="19"/>
              </w:rPr>
              <w:t>)</w:t>
            </w:r>
          </w:p>
        </w:tc>
        <w:tc>
          <w:tcPr>
            <w:tcW w:w="3842" w:type="pct"/>
            <w:shd w:val="clear" w:color="auto" w:fill="auto"/>
            <w:tcMar>
              <w:top w:w="57" w:type="dxa"/>
              <w:bottom w:w="57" w:type="dxa"/>
            </w:tcMar>
          </w:tcPr>
          <w:p w14:paraId="65EC9F40" w14:textId="77777777" w:rsidR="00C70D7B" w:rsidRPr="00460B68" w:rsidRDefault="00C70D7B" w:rsidP="005652A6">
            <w:pPr>
              <w:tabs>
                <w:tab w:val="center" w:pos="3152"/>
              </w:tabs>
              <w:rPr>
                <w:rFonts w:cs="Arial"/>
                <w:szCs w:val="19"/>
                <w:lang w:val="en-US"/>
              </w:rPr>
            </w:pPr>
            <w:r w:rsidRPr="008A7549">
              <w:rPr>
                <w:rFonts w:cs="Arial"/>
                <w:szCs w:val="19"/>
                <w:lang w:val="en-US"/>
              </w:rPr>
              <w:t>Moderately to severely active</w:t>
            </w:r>
            <w:r>
              <w:rPr>
                <w:rFonts w:cs="Arial"/>
                <w:szCs w:val="19"/>
                <w:lang w:val="en-US"/>
              </w:rPr>
              <w:t xml:space="preserve"> ulcerative colitis</w:t>
            </w:r>
            <w:r w:rsidRPr="008A7549">
              <w:rPr>
                <w:rFonts w:cs="Arial"/>
                <w:szCs w:val="19"/>
                <w:lang w:val="en-US"/>
              </w:rPr>
              <w:t xml:space="preserve"> in adults, after conventional or biological therapy</w:t>
            </w:r>
            <w:r>
              <w:rPr>
                <w:rFonts w:cs="Arial"/>
                <w:szCs w:val="19"/>
                <w:lang w:val="en-US"/>
              </w:rPr>
              <w:t>,</w:t>
            </w:r>
            <w:r w:rsidRPr="008A7549">
              <w:rPr>
                <w:rFonts w:cs="Arial"/>
                <w:szCs w:val="19"/>
                <w:lang w:val="en-US"/>
              </w:rPr>
              <w:t xml:space="preserve"> or Janus kinase inhibitor </w:t>
            </w:r>
            <w:r w:rsidRPr="008A7549">
              <w:rPr>
                <w:rFonts w:cs="Arial"/>
                <w:sz w:val="16"/>
                <w:szCs w:val="16"/>
                <w:lang w:val="en-US"/>
              </w:rPr>
              <w:t>[EU] [new indication</w:t>
            </w:r>
            <w:r>
              <w:rPr>
                <w:rFonts w:cs="Arial"/>
                <w:sz w:val="16"/>
                <w:szCs w:val="16"/>
                <w:lang w:val="en-US"/>
              </w:rPr>
              <w:t>, new intravenous formulation and new 200mg subcutaneous prefilled pen/syringe formulations, for</w:t>
            </w:r>
            <w:r w:rsidRPr="00CB2AEC">
              <w:rPr>
                <w:rFonts w:cs="Arial"/>
                <w:sz w:val="16"/>
                <w:szCs w:val="16"/>
                <w:lang w:val="en-US"/>
              </w:rPr>
              <w:t xml:space="preserve"> intravenous induction and subcutaneous maintenance</w:t>
            </w:r>
            <w:r w:rsidRPr="008A7549">
              <w:rPr>
                <w:rFonts w:cs="Arial"/>
                <w:sz w:val="16"/>
                <w:szCs w:val="16"/>
                <w:lang w:val="en-US"/>
              </w:rPr>
              <w:t>]</w:t>
            </w:r>
          </w:p>
        </w:tc>
      </w:tr>
      <w:tr w:rsidR="00C70D7B" w:rsidRPr="00A075A3" w14:paraId="657DE642" w14:textId="77777777" w:rsidTr="005652A6">
        <w:tc>
          <w:tcPr>
            <w:tcW w:w="1158" w:type="pct"/>
            <w:gridSpan w:val="2"/>
            <w:shd w:val="clear" w:color="auto" w:fill="auto"/>
            <w:tcMar>
              <w:top w:w="57" w:type="dxa"/>
              <w:bottom w:w="57" w:type="dxa"/>
            </w:tcMar>
          </w:tcPr>
          <w:p w14:paraId="21D574C3" w14:textId="77777777" w:rsidR="00C70D7B" w:rsidRDefault="00C70D7B" w:rsidP="005652A6">
            <w:pPr>
              <w:rPr>
                <w:rFonts w:cs="Arial"/>
                <w:szCs w:val="19"/>
              </w:rPr>
            </w:pPr>
            <w:proofErr w:type="spellStart"/>
            <w:r w:rsidRPr="00D358A8">
              <w:rPr>
                <w:rFonts w:cs="Arial"/>
                <w:szCs w:val="19"/>
              </w:rPr>
              <w:t>Inavolisib</w:t>
            </w:r>
            <w:proofErr w:type="spellEnd"/>
            <w:r>
              <w:rPr>
                <w:rFonts w:cs="Arial"/>
                <w:szCs w:val="19"/>
              </w:rPr>
              <w:t xml:space="preserve"> </w:t>
            </w:r>
          </w:p>
        </w:tc>
        <w:tc>
          <w:tcPr>
            <w:tcW w:w="3842" w:type="pct"/>
            <w:shd w:val="clear" w:color="auto" w:fill="auto"/>
            <w:tcMar>
              <w:top w:w="57" w:type="dxa"/>
              <w:bottom w:w="57" w:type="dxa"/>
            </w:tcMar>
          </w:tcPr>
          <w:p w14:paraId="14ED0FA5" w14:textId="77777777" w:rsidR="00C70D7B" w:rsidRDefault="00C70D7B" w:rsidP="005652A6">
            <w:pPr>
              <w:tabs>
                <w:tab w:val="center" w:pos="3152"/>
              </w:tabs>
              <w:rPr>
                <w:rFonts w:cs="Arial"/>
                <w:szCs w:val="19"/>
                <w:lang w:val="en-US"/>
              </w:rPr>
            </w:pPr>
            <w:r w:rsidRPr="00D358A8">
              <w:rPr>
                <w:rFonts w:cs="Arial"/>
                <w:szCs w:val="19"/>
                <w:lang w:val="en-US"/>
              </w:rPr>
              <w:t>Treatment of adults with PIK3CA-mutated, hormone receptor-positive, human epidermal growth factor receptor 2-negative, locally advanced or metastatic breast cancer</w:t>
            </w:r>
            <w:r>
              <w:rPr>
                <w:rFonts w:cs="Arial"/>
                <w:szCs w:val="19"/>
                <w:lang w:val="en-US"/>
              </w:rPr>
              <w:t xml:space="preserve"> </w:t>
            </w:r>
            <w:r w:rsidRPr="008A7549">
              <w:rPr>
                <w:rFonts w:cs="Arial"/>
                <w:sz w:val="16"/>
                <w:szCs w:val="16"/>
                <w:lang w:val="en-US"/>
              </w:rPr>
              <w:t>[EU]</w:t>
            </w:r>
          </w:p>
        </w:tc>
      </w:tr>
      <w:tr w:rsidR="00C70D7B" w:rsidRPr="00A075A3" w14:paraId="2667A582" w14:textId="77777777" w:rsidTr="005652A6">
        <w:tc>
          <w:tcPr>
            <w:tcW w:w="1158" w:type="pct"/>
            <w:gridSpan w:val="2"/>
            <w:shd w:val="clear" w:color="auto" w:fill="auto"/>
            <w:tcMar>
              <w:top w:w="57" w:type="dxa"/>
              <w:bottom w:w="57" w:type="dxa"/>
            </w:tcMar>
          </w:tcPr>
          <w:p w14:paraId="29F77075" w14:textId="77777777" w:rsidR="00C70D7B" w:rsidRPr="00847C5C" w:rsidRDefault="00C70D7B" w:rsidP="005652A6">
            <w:pPr>
              <w:rPr>
                <w:rFonts w:cs="Arial"/>
                <w:szCs w:val="19"/>
              </w:rPr>
            </w:pPr>
            <w:r>
              <w:rPr>
                <w:rFonts w:cs="Arial"/>
                <w:szCs w:val="19"/>
              </w:rPr>
              <w:t>Ipilimumab (</w:t>
            </w:r>
            <w:proofErr w:type="spellStart"/>
            <w:r>
              <w:rPr>
                <w:rFonts w:cs="Arial"/>
                <w:i/>
                <w:iCs/>
                <w:szCs w:val="19"/>
              </w:rPr>
              <w:t>Yervoy</w:t>
            </w:r>
            <w:proofErr w:type="spellEnd"/>
            <w:r>
              <w:rPr>
                <w:rFonts w:cs="Arial"/>
                <w:szCs w:val="19"/>
              </w:rPr>
              <w:t>)</w:t>
            </w:r>
          </w:p>
        </w:tc>
        <w:tc>
          <w:tcPr>
            <w:tcW w:w="3842" w:type="pct"/>
            <w:shd w:val="clear" w:color="auto" w:fill="auto"/>
            <w:tcMar>
              <w:top w:w="57" w:type="dxa"/>
              <w:bottom w:w="57" w:type="dxa"/>
            </w:tcMar>
          </w:tcPr>
          <w:p w14:paraId="14A2035C" w14:textId="77777777" w:rsidR="00C70D7B" w:rsidRPr="00460B68" w:rsidRDefault="00C70D7B" w:rsidP="005652A6">
            <w:pPr>
              <w:tabs>
                <w:tab w:val="center" w:pos="3152"/>
              </w:tabs>
              <w:rPr>
                <w:rFonts w:cs="Arial"/>
                <w:szCs w:val="19"/>
                <w:lang w:val="en-US"/>
              </w:rPr>
            </w:pPr>
            <w:r>
              <w:rPr>
                <w:rFonts w:cs="Arial"/>
                <w:szCs w:val="19"/>
                <w:lang w:val="en-US"/>
              </w:rPr>
              <w:t xml:space="preserve">Use in </w:t>
            </w:r>
            <w:r w:rsidRPr="00847C5C">
              <w:rPr>
                <w:rFonts w:cs="Arial"/>
                <w:szCs w:val="19"/>
                <w:lang w:val="en-US"/>
              </w:rPr>
              <w:t xml:space="preserve">combination </w:t>
            </w:r>
            <w:r>
              <w:rPr>
                <w:rFonts w:cs="Arial"/>
                <w:szCs w:val="19"/>
                <w:lang w:val="en-US"/>
              </w:rPr>
              <w:t>with nivolumab</w:t>
            </w:r>
            <w:r w:rsidRPr="00847C5C">
              <w:rPr>
                <w:rFonts w:cs="Arial"/>
                <w:szCs w:val="19"/>
                <w:lang w:val="en-US"/>
              </w:rPr>
              <w:t xml:space="preserve"> for the first-line treatment of adults with microsatellite instability</w:t>
            </w:r>
            <w:r>
              <w:rPr>
                <w:rFonts w:cs="Arial"/>
                <w:szCs w:val="19"/>
                <w:lang w:val="en-US"/>
              </w:rPr>
              <w:t>-</w:t>
            </w:r>
            <w:r w:rsidRPr="00847C5C">
              <w:rPr>
                <w:rFonts w:cs="Arial"/>
                <w:szCs w:val="19"/>
                <w:lang w:val="en-US"/>
              </w:rPr>
              <w:t>high or mismatch repair deficient metastatic colorectal cancer</w:t>
            </w:r>
            <w:r>
              <w:rPr>
                <w:rFonts w:cs="Arial"/>
                <w:szCs w:val="19"/>
                <w:lang w:val="en-US"/>
              </w:rPr>
              <w:t xml:space="preserve"> </w:t>
            </w:r>
            <w:r w:rsidRPr="00847C5C">
              <w:rPr>
                <w:rFonts w:cs="Arial"/>
                <w:sz w:val="16"/>
                <w:szCs w:val="16"/>
                <w:lang w:val="en-US"/>
              </w:rPr>
              <w:t>[EU] [new indication]</w:t>
            </w:r>
          </w:p>
        </w:tc>
      </w:tr>
      <w:tr w:rsidR="00C70D7B" w:rsidRPr="00A075A3" w14:paraId="375E6EBE" w14:textId="77777777" w:rsidTr="005652A6">
        <w:tc>
          <w:tcPr>
            <w:tcW w:w="1158" w:type="pct"/>
            <w:gridSpan w:val="2"/>
            <w:shd w:val="clear" w:color="auto" w:fill="auto"/>
            <w:tcMar>
              <w:top w:w="57" w:type="dxa"/>
              <w:bottom w:w="57" w:type="dxa"/>
            </w:tcMar>
          </w:tcPr>
          <w:p w14:paraId="714531D5" w14:textId="77777777" w:rsidR="00C70D7B" w:rsidRPr="008C4C06" w:rsidRDefault="00C70D7B" w:rsidP="005652A6">
            <w:pPr>
              <w:rPr>
                <w:rFonts w:cs="Arial"/>
                <w:szCs w:val="19"/>
              </w:rPr>
            </w:pPr>
            <w:proofErr w:type="spellStart"/>
            <w:r w:rsidRPr="008C4C06">
              <w:rPr>
                <w:rFonts w:cs="Arial"/>
                <w:szCs w:val="19"/>
              </w:rPr>
              <w:t>Isatuximab</w:t>
            </w:r>
            <w:proofErr w:type="spellEnd"/>
            <w:r>
              <w:rPr>
                <w:rFonts w:cs="Arial"/>
                <w:szCs w:val="19"/>
              </w:rPr>
              <w:t xml:space="preserve"> (</w:t>
            </w:r>
            <w:proofErr w:type="spellStart"/>
            <w:r>
              <w:rPr>
                <w:rFonts w:cs="Arial"/>
                <w:i/>
                <w:iCs/>
                <w:szCs w:val="19"/>
              </w:rPr>
              <w:t>Sarclisa</w:t>
            </w:r>
            <w:proofErr w:type="spellEnd"/>
            <w:r>
              <w:rPr>
                <w:rFonts w:cs="Arial"/>
                <w:szCs w:val="19"/>
              </w:rPr>
              <w:t>)</w:t>
            </w:r>
          </w:p>
        </w:tc>
        <w:tc>
          <w:tcPr>
            <w:tcW w:w="3842" w:type="pct"/>
            <w:shd w:val="clear" w:color="auto" w:fill="auto"/>
            <w:tcMar>
              <w:top w:w="57" w:type="dxa"/>
              <w:bottom w:w="57" w:type="dxa"/>
            </w:tcMar>
          </w:tcPr>
          <w:p w14:paraId="0695AEC5" w14:textId="77777777" w:rsidR="00C70D7B" w:rsidRDefault="00C70D7B" w:rsidP="005652A6">
            <w:pPr>
              <w:tabs>
                <w:tab w:val="center" w:pos="3152"/>
              </w:tabs>
              <w:rPr>
                <w:rFonts w:cs="Arial"/>
                <w:szCs w:val="19"/>
                <w:lang w:val="en-US"/>
              </w:rPr>
            </w:pPr>
            <w:r w:rsidRPr="008C4C06">
              <w:rPr>
                <w:rFonts w:cs="Arial"/>
                <w:szCs w:val="19"/>
                <w:lang w:val="en-US"/>
              </w:rPr>
              <w:t>Use in combination with bortezomib, lenalidomide, and dexamethasone for the treatment of adults with newly diagnosed active multiple myeloma who are not eligible for autologous stem cell transplant (ASCT) or with no intent for ASCT</w:t>
            </w:r>
            <w:r>
              <w:rPr>
                <w:rFonts w:cs="Arial"/>
                <w:szCs w:val="19"/>
                <w:lang w:val="en-US"/>
              </w:rPr>
              <w:t xml:space="preserve"> </w:t>
            </w:r>
            <w:r w:rsidRPr="00D905EE">
              <w:rPr>
                <w:rFonts w:cs="Arial"/>
                <w:sz w:val="16"/>
                <w:szCs w:val="16"/>
                <w:lang w:val="en-US"/>
              </w:rPr>
              <w:t>[EU] [new indication]</w:t>
            </w:r>
          </w:p>
        </w:tc>
      </w:tr>
      <w:tr w:rsidR="00C70D7B" w:rsidRPr="00A075A3" w14:paraId="2EA5BE01" w14:textId="77777777" w:rsidTr="005652A6">
        <w:tc>
          <w:tcPr>
            <w:tcW w:w="1158" w:type="pct"/>
            <w:gridSpan w:val="2"/>
            <w:shd w:val="clear" w:color="auto" w:fill="auto"/>
            <w:tcMar>
              <w:top w:w="57" w:type="dxa"/>
              <w:bottom w:w="57" w:type="dxa"/>
            </w:tcMar>
          </w:tcPr>
          <w:p w14:paraId="3CCB4B30" w14:textId="77777777" w:rsidR="00C70D7B" w:rsidRPr="004E4899" w:rsidRDefault="00C70D7B" w:rsidP="005652A6">
            <w:pPr>
              <w:rPr>
                <w:rFonts w:cs="Arial"/>
                <w:szCs w:val="19"/>
              </w:rPr>
            </w:pPr>
            <w:proofErr w:type="spellStart"/>
            <w:r w:rsidRPr="004E4899">
              <w:rPr>
                <w:rFonts w:cs="Arial"/>
                <w:szCs w:val="19"/>
              </w:rPr>
              <w:t>Mirikizumab</w:t>
            </w:r>
            <w:proofErr w:type="spellEnd"/>
            <w:r>
              <w:rPr>
                <w:rFonts w:cs="Arial"/>
                <w:szCs w:val="19"/>
              </w:rPr>
              <w:t xml:space="preserve"> (</w:t>
            </w:r>
            <w:proofErr w:type="spellStart"/>
            <w:r>
              <w:rPr>
                <w:rFonts w:cs="Arial"/>
                <w:i/>
                <w:iCs/>
                <w:szCs w:val="19"/>
              </w:rPr>
              <w:t>Omvoh</w:t>
            </w:r>
            <w:proofErr w:type="spellEnd"/>
            <w:r>
              <w:rPr>
                <w:rFonts w:cs="Arial"/>
                <w:szCs w:val="19"/>
              </w:rPr>
              <w:t>)</w:t>
            </w:r>
          </w:p>
        </w:tc>
        <w:tc>
          <w:tcPr>
            <w:tcW w:w="3842" w:type="pct"/>
            <w:shd w:val="clear" w:color="auto" w:fill="auto"/>
            <w:tcMar>
              <w:top w:w="57" w:type="dxa"/>
              <w:bottom w:w="57" w:type="dxa"/>
            </w:tcMar>
          </w:tcPr>
          <w:p w14:paraId="5E1033F2" w14:textId="0291EFCE" w:rsidR="00C70D7B" w:rsidRPr="00460B68" w:rsidRDefault="00C70D7B" w:rsidP="005652A6">
            <w:pPr>
              <w:tabs>
                <w:tab w:val="center" w:pos="3152"/>
              </w:tabs>
              <w:rPr>
                <w:rFonts w:cs="Arial"/>
                <w:szCs w:val="19"/>
                <w:lang w:val="en-US"/>
              </w:rPr>
            </w:pPr>
            <w:r>
              <w:rPr>
                <w:rFonts w:cs="Arial"/>
                <w:szCs w:val="19"/>
                <w:lang w:val="en-US"/>
              </w:rPr>
              <w:t>A</w:t>
            </w:r>
            <w:r w:rsidRPr="00525AC4">
              <w:rPr>
                <w:rFonts w:cs="Arial"/>
                <w:szCs w:val="19"/>
                <w:lang w:val="en-US"/>
              </w:rPr>
              <w:t>ctive, moderate</w:t>
            </w:r>
            <w:r w:rsidR="00F10D51">
              <w:rPr>
                <w:rFonts w:cs="Arial"/>
                <w:szCs w:val="19"/>
                <w:lang w:val="en-US"/>
              </w:rPr>
              <w:t>ly</w:t>
            </w:r>
            <w:r w:rsidRPr="00525AC4">
              <w:rPr>
                <w:rFonts w:cs="Arial"/>
                <w:szCs w:val="19"/>
                <w:lang w:val="en-US"/>
              </w:rPr>
              <w:t xml:space="preserve"> to severe</w:t>
            </w:r>
            <w:r w:rsidR="00F10D51">
              <w:rPr>
                <w:rFonts w:cs="Arial"/>
                <w:szCs w:val="19"/>
                <w:lang w:val="en-US"/>
              </w:rPr>
              <w:t>ly</w:t>
            </w:r>
            <w:r w:rsidRPr="00525AC4">
              <w:rPr>
                <w:rFonts w:cs="Arial"/>
                <w:szCs w:val="19"/>
                <w:lang w:val="en-US"/>
              </w:rPr>
              <w:t xml:space="preserve"> Crohn's disease in adults </w:t>
            </w:r>
            <w:r w:rsidRPr="00525AC4">
              <w:rPr>
                <w:rFonts w:cs="Arial"/>
                <w:sz w:val="16"/>
                <w:szCs w:val="16"/>
                <w:lang w:val="en-US"/>
              </w:rPr>
              <w:t xml:space="preserve">[EU] </w:t>
            </w:r>
            <w:r w:rsidRPr="008A7549">
              <w:rPr>
                <w:rFonts w:cs="Arial"/>
                <w:sz w:val="16"/>
                <w:szCs w:val="16"/>
                <w:lang w:val="en-US"/>
              </w:rPr>
              <w:t>[new indication]</w:t>
            </w:r>
          </w:p>
        </w:tc>
      </w:tr>
      <w:tr w:rsidR="00C70D7B" w:rsidRPr="00A075A3" w14:paraId="56A8CFB3" w14:textId="77777777" w:rsidTr="005652A6">
        <w:tc>
          <w:tcPr>
            <w:tcW w:w="1158" w:type="pct"/>
            <w:gridSpan w:val="2"/>
            <w:shd w:val="clear" w:color="auto" w:fill="auto"/>
            <w:tcMar>
              <w:top w:w="57" w:type="dxa"/>
              <w:bottom w:w="57" w:type="dxa"/>
            </w:tcMar>
          </w:tcPr>
          <w:p w14:paraId="27770634" w14:textId="77777777" w:rsidR="00C70D7B" w:rsidRPr="00971B81" w:rsidRDefault="00C70D7B" w:rsidP="005652A6">
            <w:pPr>
              <w:rPr>
                <w:rFonts w:cs="Arial"/>
                <w:i/>
                <w:iCs/>
                <w:szCs w:val="19"/>
              </w:rPr>
            </w:pPr>
            <w:r>
              <w:rPr>
                <w:rFonts w:cs="Arial"/>
                <w:szCs w:val="19"/>
              </w:rPr>
              <w:t>Nivolumab (</w:t>
            </w:r>
            <w:proofErr w:type="spellStart"/>
            <w:r w:rsidRPr="00847C5C">
              <w:rPr>
                <w:rFonts w:cs="Arial"/>
                <w:i/>
                <w:iCs/>
                <w:szCs w:val="19"/>
              </w:rPr>
              <w:t>Opdivo</w:t>
            </w:r>
            <w:proofErr w:type="spellEnd"/>
            <w:r>
              <w:rPr>
                <w:rFonts w:cs="Arial"/>
                <w:szCs w:val="19"/>
              </w:rPr>
              <w:t>)</w:t>
            </w:r>
          </w:p>
        </w:tc>
        <w:tc>
          <w:tcPr>
            <w:tcW w:w="3842" w:type="pct"/>
            <w:shd w:val="clear" w:color="auto" w:fill="auto"/>
            <w:tcMar>
              <w:top w:w="57" w:type="dxa"/>
              <w:bottom w:w="57" w:type="dxa"/>
            </w:tcMar>
          </w:tcPr>
          <w:p w14:paraId="1C35CA91" w14:textId="77777777" w:rsidR="00C70D7B" w:rsidRPr="003F02CB" w:rsidRDefault="00C70D7B" w:rsidP="005652A6">
            <w:pPr>
              <w:tabs>
                <w:tab w:val="center" w:pos="3152"/>
              </w:tabs>
              <w:rPr>
                <w:rFonts w:cs="Arial"/>
                <w:szCs w:val="19"/>
                <w:lang w:val="en-US"/>
              </w:rPr>
            </w:pPr>
            <w:r>
              <w:rPr>
                <w:rFonts w:cs="Arial"/>
                <w:szCs w:val="19"/>
                <w:lang w:val="en-US"/>
              </w:rPr>
              <w:t xml:space="preserve">Use in </w:t>
            </w:r>
            <w:r w:rsidRPr="00847C5C">
              <w:rPr>
                <w:rFonts w:cs="Arial"/>
                <w:szCs w:val="19"/>
                <w:lang w:val="en-US"/>
              </w:rPr>
              <w:t xml:space="preserve">combination </w:t>
            </w:r>
            <w:r>
              <w:rPr>
                <w:rFonts w:cs="Arial"/>
                <w:szCs w:val="19"/>
                <w:lang w:val="en-US"/>
              </w:rPr>
              <w:t>with ipilimumab</w:t>
            </w:r>
            <w:r w:rsidRPr="00847C5C">
              <w:rPr>
                <w:rFonts w:cs="Arial"/>
                <w:szCs w:val="19"/>
                <w:lang w:val="en-US"/>
              </w:rPr>
              <w:t xml:space="preserve"> for the first-line treatment of adults with microsatellite instability</w:t>
            </w:r>
            <w:r>
              <w:rPr>
                <w:rFonts w:cs="Arial"/>
                <w:szCs w:val="19"/>
                <w:lang w:val="en-US"/>
              </w:rPr>
              <w:t>-</w:t>
            </w:r>
            <w:r w:rsidRPr="00847C5C">
              <w:rPr>
                <w:rFonts w:cs="Arial"/>
                <w:szCs w:val="19"/>
                <w:lang w:val="en-US"/>
              </w:rPr>
              <w:t>high or mismatch repair deficient metastatic colorectal cancer</w:t>
            </w:r>
            <w:r>
              <w:rPr>
                <w:rFonts w:cs="Arial"/>
                <w:szCs w:val="19"/>
                <w:lang w:val="en-US"/>
              </w:rPr>
              <w:t xml:space="preserve"> </w:t>
            </w:r>
            <w:r w:rsidRPr="00847C5C">
              <w:rPr>
                <w:rFonts w:cs="Arial"/>
                <w:sz w:val="16"/>
                <w:szCs w:val="16"/>
                <w:lang w:val="en-US"/>
              </w:rPr>
              <w:t>[EU] [new indication]</w:t>
            </w:r>
          </w:p>
        </w:tc>
      </w:tr>
      <w:tr w:rsidR="00C70D7B" w:rsidRPr="00A075A3" w14:paraId="3A72E325" w14:textId="77777777" w:rsidTr="005652A6">
        <w:tc>
          <w:tcPr>
            <w:tcW w:w="1158" w:type="pct"/>
            <w:gridSpan w:val="2"/>
            <w:shd w:val="clear" w:color="auto" w:fill="auto"/>
            <w:tcMar>
              <w:top w:w="57" w:type="dxa"/>
              <w:bottom w:w="57" w:type="dxa"/>
            </w:tcMar>
          </w:tcPr>
          <w:p w14:paraId="2534FA9E" w14:textId="77777777" w:rsidR="00C70D7B" w:rsidRPr="00654061" w:rsidRDefault="00C70D7B" w:rsidP="005652A6">
            <w:pPr>
              <w:rPr>
                <w:rFonts w:cs="Arial"/>
                <w:szCs w:val="19"/>
              </w:rPr>
            </w:pPr>
            <w:r>
              <w:rPr>
                <w:rFonts w:cs="Arial"/>
                <w:szCs w:val="19"/>
              </w:rPr>
              <w:t>Osimertinib (</w:t>
            </w:r>
            <w:proofErr w:type="spellStart"/>
            <w:r>
              <w:rPr>
                <w:rFonts w:cs="Arial"/>
                <w:i/>
                <w:iCs/>
                <w:szCs w:val="19"/>
              </w:rPr>
              <w:t>Tagrisso</w:t>
            </w:r>
            <w:proofErr w:type="spellEnd"/>
            <w:r>
              <w:rPr>
                <w:rFonts w:cs="Arial"/>
                <w:szCs w:val="19"/>
              </w:rPr>
              <w:t>)</w:t>
            </w:r>
          </w:p>
        </w:tc>
        <w:tc>
          <w:tcPr>
            <w:tcW w:w="3842" w:type="pct"/>
            <w:shd w:val="clear" w:color="auto" w:fill="auto"/>
            <w:tcMar>
              <w:top w:w="57" w:type="dxa"/>
              <w:bottom w:w="57" w:type="dxa"/>
            </w:tcMar>
          </w:tcPr>
          <w:p w14:paraId="7C7F4B26" w14:textId="77777777" w:rsidR="00C70D7B" w:rsidRPr="00D905EE" w:rsidRDefault="00C70D7B" w:rsidP="005652A6">
            <w:pPr>
              <w:tabs>
                <w:tab w:val="center" w:pos="3152"/>
              </w:tabs>
              <w:rPr>
                <w:rFonts w:cs="Arial"/>
                <w:szCs w:val="19"/>
                <w:lang w:val="en-US"/>
              </w:rPr>
            </w:pPr>
            <w:r w:rsidRPr="00654061">
              <w:rPr>
                <w:rFonts w:cs="Arial"/>
                <w:szCs w:val="19"/>
                <w:lang w:val="en-US"/>
              </w:rPr>
              <w:t xml:space="preserve">Treatment of adults with locally advanced, unresectable (stage III) </w:t>
            </w:r>
            <w:r>
              <w:rPr>
                <w:rFonts w:cs="Arial"/>
                <w:szCs w:val="19"/>
                <w:lang w:val="en-US"/>
              </w:rPr>
              <w:t>non-small cell lung cancer</w:t>
            </w:r>
            <w:r w:rsidRPr="00654061">
              <w:rPr>
                <w:rFonts w:cs="Arial"/>
                <w:szCs w:val="19"/>
                <w:lang w:val="en-US"/>
              </w:rPr>
              <w:t xml:space="preserve"> whose tumours have EGFR exon 19 deletions or exon 21 (L858R) substitution mutations and whose disease has not progressed during or following platinum-based chemoradiation therapy for </w:t>
            </w:r>
            <w:proofErr w:type="spellStart"/>
            <w:r w:rsidRPr="00654061">
              <w:rPr>
                <w:rFonts w:cs="Arial"/>
                <w:i/>
                <w:iCs/>
                <w:szCs w:val="19"/>
                <w:lang w:val="en-US"/>
              </w:rPr>
              <w:t>Tagrisso</w:t>
            </w:r>
            <w:proofErr w:type="spellEnd"/>
            <w:r w:rsidRPr="00654061">
              <w:rPr>
                <w:rFonts w:cs="Arial"/>
                <w:szCs w:val="19"/>
                <w:lang w:val="en-US"/>
              </w:rPr>
              <w:t xml:space="preserve"> as monotherapy</w:t>
            </w:r>
            <w:r>
              <w:rPr>
                <w:rFonts w:cs="Arial"/>
                <w:szCs w:val="19"/>
                <w:lang w:val="en-US"/>
              </w:rPr>
              <w:t xml:space="preserve"> </w:t>
            </w:r>
            <w:r w:rsidRPr="00525AC4">
              <w:rPr>
                <w:rFonts w:cs="Arial"/>
                <w:sz w:val="16"/>
                <w:szCs w:val="16"/>
                <w:lang w:val="en-US"/>
              </w:rPr>
              <w:t xml:space="preserve">[EU] </w:t>
            </w:r>
            <w:r w:rsidRPr="008A7549">
              <w:rPr>
                <w:rFonts w:cs="Arial"/>
                <w:sz w:val="16"/>
                <w:szCs w:val="16"/>
                <w:lang w:val="en-US"/>
              </w:rPr>
              <w:t>[new indication]</w:t>
            </w:r>
          </w:p>
        </w:tc>
      </w:tr>
      <w:tr w:rsidR="00C70D7B" w:rsidRPr="00A075A3" w14:paraId="7DC25EE8" w14:textId="77777777" w:rsidTr="005652A6">
        <w:tc>
          <w:tcPr>
            <w:tcW w:w="1158" w:type="pct"/>
            <w:gridSpan w:val="2"/>
            <w:shd w:val="clear" w:color="auto" w:fill="auto"/>
            <w:tcMar>
              <w:top w:w="57" w:type="dxa"/>
              <w:bottom w:w="57" w:type="dxa"/>
            </w:tcMar>
          </w:tcPr>
          <w:p w14:paraId="6480E379" w14:textId="77777777" w:rsidR="00C70D7B" w:rsidRPr="00D905EE" w:rsidRDefault="00C70D7B" w:rsidP="005652A6">
            <w:pPr>
              <w:rPr>
                <w:rFonts w:cs="Arial"/>
                <w:szCs w:val="19"/>
              </w:rPr>
            </w:pPr>
            <w:r w:rsidRPr="00D905EE">
              <w:rPr>
                <w:rFonts w:cs="Arial"/>
                <w:szCs w:val="19"/>
              </w:rPr>
              <w:t>Pembrolizumab</w:t>
            </w:r>
            <w:r>
              <w:rPr>
                <w:rFonts w:cs="Arial"/>
                <w:szCs w:val="19"/>
              </w:rPr>
              <w:t xml:space="preserve"> (</w:t>
            </w:r>
            <w:r>
              <w:rPr>
                <w:rFonts w:cs="Arial"/>
                <w:i/>
                <w:iCs/>
                <w:szCs w:val="19"/>
              </w:rPr>
              <w:t>Keytruda</w:t>
            </w:r>
            <w:r>
              <w:rPr>
                <w:rFonts w:cs="Arial"/>
                <w:szCs w:val="19"/>
              </w:rPr>
              <w:t>)</w:t>
            </w:r>
          </w:p>
        </w:tc>
        <w:tc>
          <w:tcPr>
            <w:tcW w:w="3842" w:type="pct"/>
            <w:shd w:val="clear" w:color="auto" w:fill="auto"/>
            <w:tcMar>
              <w:top w:w="57" w:type="dxa"/>
              <w:bottom w:w="57" w:type="dxa"/>
            </w:tcMar>
          </w:tcPr>
          <w:p w14:paraId="3FA37B6A" w14:textId="33A9586D" w:rsidR="00C70D7B" w:rsidRPr="00120123" w:rsidRDefault="00C70D7B" w:rsidP="005652A6">
            <w:pPr>
              <w:tabs>
                <w:tab w:val="center" w:pos="3152"/>
              </w:tabs>
              <w:rPr>
                <w:rFonts w:cs="Arial"/>
                <w:szCs w:val="19"/>
                <w:lang w:val="en-US"/>
              </w:rPr>
            </w:pPr>
            <w:r w:rsidRPr="00D905EE">
              <w:rPr>
                <w:rFonts w:cs="Arial"/>
                <w:szCs w:val="19"/>
                <w:lang w:val="en-US"/>
              </w:rPr>
              <w:t xml:space="preserve">Use in combination with pemetrexed and platinum chemotherapy for the first-line treatment of adults and adolescents aged </w:t>
            </w:r>
            <w:r>
              <w:rPr>
                <w:rFonts w:cs="Arial"/>
                <w:szCs w:val="19"/>
                <w:lang w:val="en-US"/>
              </w:rPr>
              <w:t>≥</w:t>
            </w:r>
            <w:r w:rsidRPr="00D905EE">
              <w:rPr>
                <w:rFonts w:cs="Arial"/>
                <w:szCs w:val="19"/>
                <w:lang w:val="en-US"/>
              </w:rPr>
              <w:t>12 years with unresectable advanced or metastatic malignant pleural mesothelioma</w:t>
            </w:r>
            <w:r>
              <w:rPr>
                <w:rFonts w:cs="Arial"/>
                <w:szCs w:val="19"/>
                <w:lang w:val="en-US"/>
              </w:rPr>
              <w:t xml:space="preserve"> </w:t>
            </w:r>
            <w:r w:rsidRPr="00D905EE">
              <w:rPr>
                <w:rFonts w:cs="Arial"/>
                <w:sz w:val="16"/>
                <w:szCs w:val="16"/>
                <w:lang w:val="en-US"/>
              </w:rPr>
              <w:t>[EU] [new indication]</w:t>
            </w:r>
          </w:p>
        </w:tc>
      </w:tr>
      <w:tr w:rsidR="00C70D7B" w:rsidRPr="00A075A3" w14:paraId="31B5DAAE" w14:textId="77777777" w:rsidTr="005652A6">
        <w:tc>
          <w:tcPr>
            <w:tcW w:w="1158" w:type="pct"/>
            <w:gridSpan w:val="2"/>
            <w:shd w:val="clear" w:color="auto" w:fill="auto"/>
            <w:tcMar>
              <w:top w:w="57" w:type="dxa"/>
              <w:bottom w:w="57" w:type="dxa"/>
            </w:tcMar>
          </w:tcPr>
          <w:p w14:paraId="24BFDC79" w14:textId="77777777" w:rsidR="00C70D7B" w:rsidRDefault="00C70D7B" w:rsidP="005652A6">
            <w:pPr>
              <w:rPr>
                <w:rFonts w:cs="Arial"/>
                <w:szCs w:val="19"/>
              </w:rPr>
            </w:pPr>
            <w:proofErr w:type="spellStart"/>
            <w:r>
              <w:rPr>
                <w:rFonts w:cs="Arial"/>
                <w:szCs w:val="19"/>
              </w:rPr>
              <w:t>Seladelpar</w:t>
            </w:r>
            <w:proofErr w:type="spellEnd"/>
            <w:r>
              <w:rPr>
                <w:rFonts w:cs="Arial"/>
                <w:szCs w:val="19"/>
              </w:rPr>
              <w:t xml:space="preserve"> </w:t>
            </w:r>
          </w:p>
        </w:tc>
        <w:tc>
          <w:tcPr>
            <w:tcW w:w="3842" w:type="pct"/>
            <w:shd w:val="clear" w:color="auto" w:fill="auto"/>
            <w:tcMar>
              <w:top w:w="57" w:type="dxa"/>
              <w:bottom w:w="57" w:type="dxa"/>
            </w:tcMar>
          </w:tcPr>
          <w:p w14:paraId="6F79E0E6" w14:textId="77777777" w:rsidR="00C70D7B" w:rsidRPr="00272180" w:rsidRDefault="00C70D7B" w:rsidP="005652A6">
            <w:pPr>
              <w:tabs>
                <w:tab w:val="center" w:pos="3152"/>
              </w:tabs>
              <w:rPr>
                <w:rFonts w:cs="Arial"/>
                <w:szCs w:val="19"/>
                <w:lang w:val="en-US"/>
              </w:rPr>
            </w:pPr>
            <w:r w:rsidRPr="00120123">
              <w:rPr>
                <w:rFonts w:cs="Arial"/>
                <w:szCs w:val="19"/>
                <w:lang w:val="en-US"/>
              </w:rPr>
              <w:t>Treatment of primary biliary cholangitis including pruritus in adults without cirrhosis or with compensated cirrhosis</w:t>
            </w:r>
            <w:r>
              <w:rPr>
                <w:rFonts w:cs="Arial"/>
                <w:szCs w:val="19"/>
                <w:lang w:val="en-US"/>
              </w:rPr>
              <w:t>,</w:t>
            </w:r>
            <w:r w:rsidRPr="00120123">
              <w:rPr>
                <w:rFonts w:cs="Arial"/>
                <w:szCs w:val="19"/>
                <w:lang w:val="en-US"/>
              </w:rPr>
              <w:t xml:space="preserve"> in combination with </w:t>
            </w:r>
            <w:proofErr w:type="spellStart"/>
            <w:r w:rsidRPr="00120123">
              <w:rPr>
                <w:rFonts w:cs="Arial"/>
                <w:szCs w:val="19"/>
                <w:lang w:val="en-US"/>
              </w:rPr>
              <w:t>ursodeoxycholic</w:t>
            </w:r>
            <w:proofErr w:type="spellEnd"/>
            <w:r w:rsidRPr="00120123">
              <w:rPr>
                <w:rFonts w:cs="Arial"/>
                <w:szCs w:val="19"/>
                <w:lang w:val="en-US"/>
              </w:rPr>
              <w:t xml:space="preserve"> acid (UDCA)</w:t>
            </w:r>
            <w:r>
              <w:rPr>
                <w:rFonts w:cs="Arial"/>
                <w:szCs w:val="19"/>
                <w:lang w:val="en-US"/>
              </w:rPr>
              <w:t>, in those</w:t>
            </w:r>
            <w:r w:rsidRPr="00120123">
              <w:rPr>
                <w:rFonts w:cs="Arial"/>
                <w:szCs w:val="19"/>
                <w:lang w:val="en-US"/>
              </w:rPr>
              <w:t xml:space="preserve"> who have an inadequate response to UDCA alone, or as monotherapy in those unable to tolerate UDCA </w:t>
            </w:r>
            <w:r w:rsidRPr="00120123">
              <w:rPr>
                <w:rFonts w:cs="Arial"/>
                <w:sz w:val="16"/>
                <w:szCs w:val="16"/>
                <w:lang w:val="en-US"/>
              </w:rPr>
              <w:t>[UK]</w:t>
            </w:r>
          </w:p>
        </w:tc>
      </w:tr>
      <w:tr w:rsidR="00C70D7B" w:rsidRPr="00A075A3" w14:paraId="295D0E15" w14:textId="77777777" w:rsidTr="005652A6">
        <w:tc>
          <w:tcPr>
            <w:tcW w:w="1158" w:type="pct"/>
            <w:gridSpan w:val="2"/>
            <w:shd w:val="clear" w:color="auto" w:fill="auto"/>
            <w:tcMar>
              <w:top w:w="57" w:type="dxa"/>
              <w:bottom w:w="57" w:type="dxa"/>
            </w:tcMar>
          </w:tcPr>
          <w:p w14:paraId="28931A42" w14:textId="77777777" w:rsidR="00C70D7B" w:rsidRDefault="00C70D7B" w:rsidP="005652A6">
            <w:pPr>
              <w:rPr>
                <w:rFonts w:cs="Arial"/>
                <w:szCs w:val="19"/>
              </w:rPr>
            </w:pPr>
            <w:proofErr w:type="spellStart"/>
            <w:r w:rsidRPr="0038507C">
              <w:rPr>
                <w:rFonts w:cs="Arial"/>
                <w:szCs w:val="19"/>
              </w:rPr>
              <w:t>Sepiapterin</w:t>
            </w:r>
            <w:proofErr w:type="spellEnd"/>
            <w:r>
              <w:rPr>
                <w:rFonts w:cs="Arial"/>
                <w:szCs w:val="19"/>
              </w:rPr>
              <w:t xml:space="preserve"> </w:t>
            </w:r>
          </w:p>
        </w:tc>
        <w:tc>
          <w:tcPr>
            <w:tcW w:w="3842" w:type="pct"/>
            <w:shd w:val="clear" w:color="auto" w:fill="auto"/>
            <w:tcMar>
              <w:top w:w="57" w:type="dxa"/>
              <w:bottom w:w="57" w:type="dxa"/>
            </w:tcMar>
          </w:tcPr>
          <w:p w14:paraId="2E630FAC" w14:textId="77777777" w:rsidR="00C70D7B" w:rsidRPr="00120123" w:rsidRDefault="00C70D7B" w:rsidP="005652A6">
            <w:pPr>
              <w:tabs>
                <w:tab w:val="center" w:pos="3152"/>
              </w:tabs>
              <w:rPr>
                <w:rFonts w:cs="Arial"/>
                <w:szCs w:val="19"/>
                <w:lang w:val="en-US"/>
              </w:rPr>
            </w:pPr>
            <w:r>
              <w:rPr>
                <w:rFonts w:cs="Arial"/>
                <w:szCs w:val="19"/>
                <w:lang w:val="en-US"/>
              </w:rPr>
              <w:t>T</w:t>
            </w:r>
            <w:r w:rsidRPr="0038507C">
              <w:rPr>
                <w:rFonts w:cs="Arial"/>
                <w:szCs w:val="19"/>
                <w:lang w:val="en-US"/>
              </w:rPr>
              <w:t xml:space="preserve">reatment of hyperphenylalaninemia in adult and paediatric patients with phenylketonuria </w:t>
            </w:r>
            <w:r w:rsidRPr="0038507C">
              <w:rPr>
                <w:rFonts w:cs="Arial"/>
                <w:sz w:val="16"/>
                <w:szCs w:val="16"/>
                <w:lang w:val="en-US"/>
              </w:rPr>
              <w:t>[EU]</w:t>
            </w:r>
          </w:p>
        </w:tc>
      </w:tr>
      <w:tr w:rsidR="00C70D7B" w:rsidRPr="00A075A3" w14:paraId="46A2861A" w14:textId="77777777" w:rsidTr="005652A6">
        <w:tc>
          <w:tcPr>
            <w:tcW w:w="1158" w:type="pct"/>
            <w:gridSpan w:val="2"/>
            <w:shd w:val="clear" w:color="auto" w:fill="auto"/>
            <w:tcMar>
              <w:top w:w="57" w:type="dxa"/>
              <w:bottom w:w="57" w:type="dxa"/>
            </w:tcMar>
          </w:tcPr>
          <w:p w14:paraId="71F1F1E0" w14:textId="77777777" w:rsidR="00C70D7B" w:rsidRPr="00785ABF" w:rsidRDefault="00C70D7B" w:rsidP="005652A6">
            <w:pPr>
              <w:rPr>
                <w:rFonts w:cs="Arial"/>
                <w:szCs w:val="19"/>
              </w:rPr>
            </w:pPr>
            <w:r>
              <w:rPr>
                <w:rFonts w:cs="Arial"/>
                <w:szCs w:val="19"/>
              </w:rPr>
              <w:t>Teprotumumab (</w:t>
            </w:r>
            <w:proofErr w:type="spellStart"/>
            <w:r>
              <w:rPr>
                <w:rFonts w:cs="Arial"/>
                <w:i/>
                <w:iCs/>
                <w:szCs w:val="19"/>
              </w:rPr>
              <w:t>Tepezza</w:t>
            </w:r>
            <w:proofErr w:type="spellEnd"/>
            <w:r>
              <w:rPr>
                <w:rFonts w:cs="Arial"/>
                <w:szCs w:val="19"/>
              </w:rPr>
              <w:t>)</w:t>
            </w:r>
          </w:p>
        </w:tc>
        <w:tc>
          <w:tcPr>
            <w:tcW w:w="3842" w:type="pct"/>
            <w:shd w:val="clear" w:color="auto" w:fill="auto"/>
            <w:tcMar>
              <w:top w:w="57" w:type="dxa"/>
              <w:bottom w:w="57" w:type="dxa"/>
            </w:tcMar>
          </w:tcPr>
          <w:p w14:paraId="69D90BB1" w14:textId="24983676" w:rsidR="00C70D7B" w:rsidRDefault="00C70D7B" w:rsidP="005652A6">
            <w:pPr>
              <w:tabs>
                <w:tab w:val="center" w:pos="3152"/>
              </w:tabs>
              <w:rPr>
                <w:rFonts w:cs="Arial"/>
                <w:szCs w:val="19"/>
                <w:lang w:val="en-US"/>
              </w:rPr>
            </w:pPr>
            <w:r w:rsidRPr="00785ABF">
              <w:rPr>
                <w:rFonts w:cs="Arial"/>
                <w:szCs w:val="19"/>
                <w:lang w:val="en-US"/>
              </w:rPr>
              <w:t xml:space="preserve">Treatment of moderate to severe </w:t>
            </w:r>
            <w:r>
              <w:rPr>
                <w:rFonts w:cs="Arial"/>
                <w:szCs w:val="19"/>
                <w:lang w:val="en-US"/>
              </w:rPr>
              <w:t>t</w:t>
            </w:r>
            <w:r w:rsidRPr="00785ABF">
              <w:rPr>
                <w:rFonts w:cs="Arial"/>
                <w:szCs w:val="19"/>
                <w:lang w:val="en-US"/>
              </w:rPr>
              <w:t xml:space="preserve">hyroid </w:t>
            </w:r>
            <w:r>
              <w:rPr>
                <w:rFonts w:cs="Arial"/>
                <w:szCs w:val="19"/>
                <w:lang w:val="en-US"/>
              </w:rPr>
              <w:t>e</w:t>
            </w:r>
            <w:r w:rsidRPr="00785ABF">
              <w:rPr>
                <w:rFonts w:cs="Arial"/>
                <w:szCs w:val="19"/>
                <w:lang w:val="en-US"/>
              </w:rPr>
              <w:t xml:space="preserve">ye </w:t>
            </w:r>
            <w:r>
              <w:rPr>
                <w:rFonts w:cs="Arial"/>
                <w:szCs w:val="19"/>
                <w:lang w:val="en-US"/>
              </w:rPr>
              <w:t>d</w:t>
            </w:r>
            <w:r w:rsidRPr="00785ABF">
              <w:rPr>
                <w:rFonts w:cs="Arial"/>
                <w:szCs w:val="19"/>
                <w:lang w:val="en-US"/>
              </w:rPr>
              <w:t>isease</w:t>
            </w:r>
            <w:r w:rsidR="00F87BD9">
              <w:rPr>
                <w:rFonts w:cs="Arial"/>
                <w:szCs w:val="19"/>
                <w:lang w:val="en-US"/>
              </w:rPr>
              <w:t xml:space="preserve"> </w:t>
            </w:r>
            <w:r w:rsidR="00F87BD9" w:rsidRPr="0038507C">
              <w:rPr>
                <w:rFonts w:cs="Arial"/>
                <w:sz w:val="16"/>
                <w:szCs w:val="16"/>
                <w:lang w:val="en-US"/>
              </w:rPr>
              <w:t>[EU]</w:t>
            </w:r>
          </w:p>
        </w:tc>
      </w:tr>
      <w:tr w:rsidR="00C70D7B" w:rsidRPr="000F19E1" w14:paraId="085AC6D0" w14:textId="77777777" w:rsidTr="005652A6">
        <w:tc>
          <w:tcPr>
            <w:tcW w:w="1158" w:type="pct"/>
            <w:gridSpan w:val="2"/>
            <w:shd w:val="clear" w:color="auto" w:fill="auto"/>
            <w:tcMar>
              <w:top w:w="0" w:type="dxa"/>
              <w:bottom w:w="0" w:type="dxa"/>
            </w:tcMar>
          </w:tcPr>
          <w:p w14:paraId="5302388A" w14:textId="77777777" w:rsidR="00C70D7B" w:rsidRPr="000F19E1" w:rsidRDefault="00C70D7B" w:rsidP="005652A6">
            <w:pPr>
              <w:rPr>
                <w:rFonts w:cs="Arial"/>
                <w:bCs/>
                <w:sz w:val="8"/>
                <w:szCs w:val="8"/>
              </w:rPr>
            </w:pPr>
          </w:p>
        </w:tc>
        <w:tc>
          <w:tcPr>
            <w:tcW w:w="3842" w:type="pct"/>
            <w:shd w:val="clear" w:color="auto" w:fill="auto"/>
            <w:tcMar>
              <w:top w:w="0" w:type="dxa"/>
              <w:bottom w:w="0" w:type="dxa"/>
            </w:tcMar>
          </w:tcPr>
          <w:p w14:paraId="173FDF00" w14:textId="77777777" w:rsidR="00C70D7B" w:rsidRPr="000F19E1" w:rsidRDefault="00C70D7B" w:rsidP="005652A6">
            <w:pPr>
              <w:tabs>
                <w:tab w:val="center" w:pos="3152"/>
              </w:tabs>
              <w:rPr>
                <w:rFonts w:cs="Arial"/>
                <w:sz w:val="8"/>
                <w:szCs w:val="8"/>
                <w:lang w:val="en-US"/>
              </w:rPr>
            </w:pPr>
          </w:p>
        </w:tc>
      </w:tr>
      <w:tr w:rsidR="00C70D7B" w:rsidRPr="000F19E1" w14:paraId="4C0C6830" w14:textId="77777777" w:rsidTr="005652A6">
        <w:tc>
          <w:tcPr>
            <w:tcW w:w="1158" w:type="pct"/>
            <w:gridSpan w:val="2"/>
            <w:shd w:val="clear" w:color="auto" w:fill="DAEEF3"/>
            <w:tcMar>
              <w:top w:w="0" w:type="dxa"/>
              <w:bottom w:w="0" w:type="dxa"/>
            </w:tcMar>
          </w:tcPr>
          <w:p w14:paraId="1D89DBCD" w14:textId="77777777" w:rsidR="00C70D7B" w:rsidRPr="000F19E1" w:rsidRDefault="00C70D7B" w:rsidP="005652A6">
            <w:pPr>
              <w:rPr>
                <w:rFonts w:cs="Arial"/>
                <w:bCs/>
                <w:sz w:val="8"/>
                <w:szCs w:val="8"/>
              </w:rPr>
            </w:pPr>
          </w:p>
        </w:tc>
        <w:tc>
          <w:tcPr>
            <w:tcW w:w="3842" w:type="pct"/>
            <w:shd w:val="clear" w:color="auto" w:fill="DAEEF3"/>
            <w:tcMar>
              <w:top w:w="0" w:type="dxa"/>
              <w:bottom w:w="0" w:type="dxa"/>
            </w:tcMar>
          </w:tcPr>
          <w:p w14:paraId="4CC210D4" w14:textId="77777777" w:rsidR="00C70D7B" w:rsidRPr="000F19E1" w:rsidRDefault="00C70D7B" w:rsidP="005652A6">
            <w:pPr>
              <w:tabs>
                <w:tab w:val="center" w:pos="3152"/>
              </w:tabs>
              <w:rPr>
                <w:rFonts w:cs="Arial"/>
                <w:sz w:val="8"/>
                <w:szCs w:val="8"/>
                <w:lang w:val="en-US"/>
              </w:rPr>
            </w:pPr>
          </w:p>
        </w:tc>
      </w:tr>
    </w:tbl>
    <w:p w14:paraId="610E34C3" w14:textId="77777777" w:rsidR="00C70D7B" w:rsidRDefault="00C70D7B" w:rsidP="00BD0029">
      <w:pPr>
        <w:rPr>
          <w:sz w:val="18"/>
        </w:rPr>
      </w:pPr>
    </w:p>
    <w:p w14:paraId="417A7049" w14:textId="77777777" w:rsidR="00C70D7B" w:rsidRDefault="00C70D7B" w:rsidP="00BD0029">
      <w:pPr>
        <w:rPr>
          <w:sz w:val="18"/>
        </w:rPr>
      </w:pPr>
    </w:p>
    <w:p w14:paraId="0359DF54" w14:textId="77777777" w:rsidR="00C70D7B" w:rsidRDefault="00C70D7B" w:rsidP="00BD0029">
      <w:pPr>
        <w:rPr>
          <w:sz w:val="18"/>
        </w:rPr>
      </w:pPr>
    </w:p>
    <w:p w14:paraId="0F7A08D0" w14:textId="77777777" w:rsidR="00C70D7B" w:rsidRDefault="00C70D7B" w:rsidP="00BD0029">
      <w:pPr>
        <w:rPr>
          <w:sz w:val="18"/>
        </w:rPr>
      </w:pPr>
    </w:p>
    <w:tbl>
      <w:tblPr>
        <w:tblW w:w="5170" w:type="pct"/>
        <w:tblInd w:w="-176" w:type="dxa"/>
        <w:tblLayout w:type="fixed"/>
        <w:tblLook w:val="01E0" w:firstRow="1" w:lastRow="1" w:firstColumn="1" w:lastColumn="1" w:noHBand="0" w:noVBand="0"/>
      </w:tblPr>
      <w:tblGrid>
        <w:gridCol w:w="2728"/>
        <w:gridCol w:w="7823"/>
      </w:tblGrid>
      <w:tr w:rsidR="00C70D7B" w:rsidRPr="00862949" w14:paraId="6690A16C" w14:textId="77777777" w:rsidTr="005652A6">
        <w:tc>
          <w:tcPr>
            <w:tcW w:w="5000" w:type="pct"/>
            <w:gridSpan w:val="2"/>
            <w:shd w:val="clear" w:color="auto" w:fill="0070C0"/>
            <w:tcMar>
              <w:top w:w="85" w:type="dxa"/>
              <w:bottom w:w="85" w:type="dxa"/>
            </w:tcMar>
            <w:vAlign w:val="bottom"/>
          </w:tcPr>
          <w:p w14:paraId="0030AE05" w14:textId="77777777" w:rsidR="00C70D7B" w:rsidRPr="00862949" w:rsidRDefault="00C70D7B" w:rsidP="005652A6">
            <w:pPr>
              <w:rPr>
                <w:rFonts w:cs="Arial"/>
                <w:color w:val="FFFFFF"/>
                <w:sz w:val="15"/>
                <w:szCs w:val="15"/>
              </w:rPr>
            </w:pPr>
            <w:r w:rsidRPr="00862949">
              <w:rPr>
                <w:rFonts w:cs="Arial"/>
                <w:b/>
                <w:bCs/>
                <w:iCs/>
                <w:color w:val="FFFFFF"/>
                <w:sz w:val="28"/>
                <w:szCs w:val="28"/>
                <w:lang w:val="en-US"/>
              </w:rPr>
              <w:t xml:space="preserve">Regulatory changes in the </w:t>
            </w:r>
            <w:r>
              <w:rPr>
                <w:rFonts w:cs="Arial"/>
                <w:b/>
                <w:bCs/>
                <w:iCs/>
                <w:color w:val="FFFFFF"/>
                <w:sz w:val="28"/>
                <w:szCs w:val="28"/>
                <w:lang w:val="en-US"/>
              </w:rPr>
              <w:t xml:space="preserve">UK or </w:t>
            </w:r>
            <w:r w:rsidRPr="00862949">
              <w:rPr>
                <w:rFonts w:cs="Arial"/>
                <w:b/>
                <w:bCs/>
                <w:iCs/>
                <w:color w:val="FFFFFF"/>
                <w:sz w:val="28"/>
                <w:szCs w:val="28"/>
                <w:lang w:val="en-US"/>
              </w:rPr>
              <w:t>EU</w:t>
            </w:r>
            <w:r w:rsidRPr="00862949">
              <w:rPr>
                <w:rFonts w:cs="Arial"/>
                <w:b/>
                <w:bCs/>
                <w:iCs/>
                <w:color w:val="FFFFFF"/>
                <w:sz w:val="28"/>
                <w:szCs w:val="28"/>
                <w:lang w:val="en-US"/>
              </w:rPr>
              <w:tab/>
            </w:r>
          </w:p>
        </w:tc>
      </w:tr>
      <w:tr w:rsidR="00C70D7B" w:rsidRPr="000F19E1" w14:paraId="0FEF23F2" w14:textId="77777777" w:rsidTr="003A764C">
        <w:tc>
          <w:tcPr>
            <w:tcW w:w="1293" w:type="pct"/>
            <w:shd w:val="clear" w:color="auto" w:fill="DAEEF3"/>
            <w:tcMar>
              <w:top w:w="0" w:type="dxa"/>
              <w:bottom w:w="0" w:type="dxa"/>
            </w:tcMar>
          </w:tcPr>
          <w:p w14:paraId="558DA17F" w14:textId="77777777" w:rsidR="00C70D7B" w:rsidRPr="000F19E1" w:rsidRDefault="00C70D7B" w:rsidP="005652A6">
            <w:pPr>
              <w:rPr>
                <w:rFonts w:cs="Arial"/>
                <w:bCs/>
                <w:sz w:val="8"/>
                <w:szCs w:val="8"/>
              </w:rPr>
            </w:pPr>
          </w:p>
        </w:tc>
        <w:tc>
          <w:tcPr>
            <w:tcW w:w="3707" w:type="pct"/>
            <w:shd w:val="clear" w:color="auto" w:fill="DAEEF3"/>
            <w:tcMar>
              <w:top w:w="0" w:type="dxa"/>
              <w:bottom w:w="0" w:type="dxa"/>
            </w:tcMar>
          </w:tcPr>
          <w:p w14:paraId="357977A1" w14:textId="77777777" w:rsidR="00C70D7B" w:rsidRPr="000F19E1" w:rsidRDefault="00C70D7B" w:rsidP="005652A6">
            <w:pPr>
              <w:tabs>
                <w:tab w:val="center" w:pos="3152"/>
              </w:tabs>
              <w:rPr>
                <w:rFonts w:cs="Arial"/>
                <w:sz w:val="8"/>
                <w:szCs w:val="8"/>
                <w:lang w:val="en-US"/>
              </w:rPr>
            </w:pPr>
          </w:p>
        </w:tc>
      </w:tr>
      <w:tr w:rsidR="00C70D7B" w:rsidRPr="00126CCD" w14:paraId="3F5F00D5" w14:textId="77777777" w:rsidTr="005652A6">
        <w:tc>
          <w:tcPr>
            <w:tcW w:w="5000" w:type="pct"/>
            <w:gridSpan w:val="2"/>
            <w:shd w:val="clear" w:color="auto" w:fill="00B050"/>
            <w:tcMar>
              <w:top w:w="57" w:type="dxa"/>
              <w:bottom w:w="57" w:type="dxa"/>
            </w:tcMar>
          </w:tcPr>
          <w:p w14:paraId="3B1568B7" w14:textId="77777777" w:rsidR="00C70D7B" w:rsidRPr="004642B4" w:rsidRDefault="00C70D7B" w:rsidP="005652A6">
            <w:pPr>
              <w:rPr>
                <w:rFonts w:cs="Arial"/>
                <w:noProof/>
                <w:color w:val="FFFFFF"/>
                <w:sz w:val="16"/>
                <w:szCs w:val="16"/>
              </w:rPr>
            </w:pPr>
            <w:r w:rsidRPr="004642B4">
              <w:rPr>
                <w:rFonts w:cs="Arial"/>
                <w:b/>
                <w:bCs/>
                <w:i/>
                <w:iCs/>
                <w:color w:val="FFFFFF"/>
                <w:sz w:val="22"/>
                <w:szCs w:val="20"/>
                <w:lang w:val="en-US"/>
              </w:rPr>
              <w:t xml:space="preserve">Other </w:t>
            </w:r>
            <w:r>
              <w:rPr>
                <w:rFonts w:cs="Arial"/>
                <w:b/>
                <w:bCs/>
                <w:i/>
                <w:iCs/>
                <w:color w:val="FFFFFF"/>
                <w:sz w:val="22"/>
                <w:szCs w:val="20"/>
                <w:lang w:val="en-US"/>
              </w:rPr>
              <w:t>UK/</w:t>
            </w:r>
            <w:r w:rsidRPr="004642B4">
              <w:rPr>
                <w:rFonts w:cs="Arial"/>
                <w:b/>
                <w:bCs/>
                <w:i/>
                <w:iCs/>
                <w:color w:val="FFFFFF"/>
                <w:sz w:val="22"/>
                <w:szCs w:val="20"/>
                <w:lang w:val="en-US"/>
              </w:rPr>
              <w:t>EU developments</w:t>
            </w:r>
          </w:p>
        </w:tc>
      </w:tr>
      <w:tr w:rsidR="00C70D7B" w14:paraId="2A262EB5" w14:textId="77777777" w:rsidTr="003A764C">
        <w:tc>
          <w:tcPr>
            <w:tcW w:w="1293" w:type="pct"/>
            <w:shd w:val="clear" w:color="auto" w:fill="auto"/>
            <w:tcMar>
              <w:top w:w="57" w:type="dxa"/>
              <w:bottom w:w="57" w:type="dxa"/>
            </w:tcMar>
          </w:tcPr>
          <w:p w14:paraId="3AAFC8BD" w14:textId="77777777" w:rsidR="00C70D7B" w:rsidRDefault="00C70D7B" w:rsidP="005652A6">
            <w:pPr>
              <w:rPr>
                <w:rFonts w:cs="Arial"/>
                <w:szCs w:val="19"/>
              </w:rPr>
            </w:pPr>
            <w:proofErr w:type="spellStart"/>
            <w:r w:rsidRPr="005D4C7B">
              <w:rPr>
                <w:rFonts w:cs="Arial"/>
                <w:szCs w:val="19"/>
              </w:rPr>
              <w:t>Abemaciclib</w:t>
            </w:r>
            <w:proofErr w:type="spellEnd"/>
            <w:r>
              <w:rPr>
                <w:rFonts w:cs="Arial"/>
                <w:szCs w:val="19"/>
              </w:rPr>
              <w:t xml:space="preserve"> (</w:t>
            </w:r>
            <w:proofErr w:type="spellStart"/>
            <w:r w:rsidRPr="005D4C7B">
              <w:rPr>
                <w:rFonts w:cs="Arial"/>
                <w:i/>
                <w:iCs/>
                <w:szCs w:val="19"/>
              </w:rPr>
              <w:t>Verzenios</w:t>
            </w:r>
            <w:proofErr w:type="spellEnd"/>
            <w:r>
              <w:rPr>
                <w:rFonts w:cs="Arial"/>
                <w:szCs w:val="19"/>
              </w:rPr>
              <w:t>)</w:t>
            </w:r>
          </w:p>
        </w:tc>
        <w:tc>
          <w:tcPr>
            <w:tcW w:w="3707" w:type="pct"/>
            <w:shd w:val="clear" w:color="auto" w:fill="auto"/>
            <w:tcMar>
              <w:top w:w="57" w:type="dxa"/>
              <w:bottom w:w="57" w:type="dxa"/>
            </w:tcMar>
          </w:tcPr>
          <w:p w14:paraId="04B4E0F1" w14:textId="77777777" w:rsidR="00C70D7B" w:rsidRPr="00C05FAF" w:rsidRDefault="00C70D7B" w:rsidP="005652A6">
            <w:pPr>
              <w:tabs>
                <w:tab w:val="center" w:pos="3152"/>
              </w:tabs>
              <w:rPr>
                <w:rFonts w:cs="Arial"/>
                <w:szCs w:val="19"/>
                <w:lang w:val="en-US"/>
              </w:rPr>
            </w:pPr>
            <w:r>
              <w:rPr>
                <w:rFonts w:cs="Arial"/>
                <w:szCs w:val="19"/>
                <w:lang w:val="en-US"/>
              </w:rPr>
              <w:t>High-risk m</w:t>
            </w:r>
            <w:r w:rsidRPr="005D4C7B">
              <w:rPr>
                <w:rFonts w:cs="Arial"/>
                <w:szCs w:val="19"/>
                <w:lang w:val="en-US"/>
              </w:rPr>
              <w:t xml:space="preserve">etastatic, hormone-sensitive </w:t>
            </w:r>
            <w:r>
              <w:rPr>
                <w:rFonts w:cs="Arial"/>
                <w:szCs w:val="19"/>
                <w:lang w:val="en-US"/>
              </w:rPr>
              <w:t>prostate cancer</w:t>
            </w:r>
            <w:r w:rsidRPr="005D4C7B">
              <w:rPr>
                <w:rFonts w:cs="Arial"/>
                <w:szCs w:val="19"/>
                <w:lang w:val="en-US"/>
              </w:rPr>
              <w:t xml:space="preserve"> in adults</w:t>
            </w:r>
            <w:r>
              <w:rPr>
                <w:rFonts w:cs="Arial"/>
                <w:szCs w:val="19"/>
                <w:lang w:val="en-US"/>
              </w:rPr>
              <w:t>,</w:t>
            </w:r>
            <w:r w:rsidRPr="005D4C7B">
              <w:rPr>
                <w:rFonts w:cs="Arial"/>
                <w:szCs w:val="19"/>
                <w:lang w:val="en-US"/>
              </w:rPr>
              <w:t xml:space="preserve"> first-line with abiraterone and prednisolone</w:t>
            </w:r>
            <w:r>
              <w:rPr>
                <w:rFonts w:cs="Arial"/>
                <w:szCs w:val="19"/>
                <w:lang w:val="en-US"/>
              </w:rPr>
              <w:t xml:space="preserve"> – development discontinued (lack of efficacy)</w:t>
            </w:r>
          </w:p>
        </w:tc>
      </w:tr>
      <w:tr w:rsidR="003A764C" w14:paraId="1D668212" w14:textId="77777777" w:rsidTr="003A764C">
        <w:tc>
          <w:tcPr>
            <w:tcW w:w="1293" w:type="pct"/>
            <w:shd w:val="clear" w:color="auto" w:fill="auto"/>
            <w:tcMar>
              <w:top w:w="57" w:type="dxa"/>
              <w:bottom w:w="57" w:type="dxa"/>
            </w:tcMar>
          </w:tcPr>
          <w:p w14:paraId="4FD49A7A" w14:textId="4CF5D538" w:rsidR="003A764C" w:rsidRPr="005D4C7B" w:rsidRDefault="003A764C" w:rsidP="005652A6">
            <w:pPr>
              <w:rPr>
                <w:rFonts w:cs="Arial"/>
                <w:szCs w:val="19"/>
              </w:rPr>
            </w:pPr>
            <w:proofErr w:type="spellStart"/>
            <w:r w:rsidRPr="003A764C">
              <w:rPr>
                <w:rFonts w:cs="Arial"/>
                <w:szCs w:val="19"/>
              </w:rPr>
              <w:t>Afamelanotide</w:t>
            </w:r>
            <w:proofErr w:type="spellEnd"/>
            <w:r w:rsidRPr="003A764C">
              <w:rPr>
                <w:rFonts w:cs="Arial"/>
                <w:szCs w:val="19"/>
              </w:rPr>
              <w:t xml:space="preserve"> (</w:t>
            </w:r>
            <w:proofErr w:type="spellStart"/>
            <w:r w:rsidRPr="003A764C">
              <w:rPr>
                <w:rFonts w:cs="Arial"/>
                <w:i/>
                <w:iCs/>
                <w:szCs w:val="19"/>
              </w:rPr>
              <w:t>Scenesse</w:t>
            </w:r>
            <w:proofErr w:type="spellEnd"/>
            <w:r w:rsidRPr="003A764C">
              <w:rPr>
                <w:rFonts w:cs="Arial"/>
                <w:szCs w:val="19"/>
              </w:rPr>
              <w:t>)</w:t>
            </w:r>
          </w:p>
        </w:tc>
        <w:tc>
          <w:tcPr>
            <w:tcW w:w="3707" w:type="pct"/>
            <w:shd w:val="clear" w:color="auto" w:fill="auto"/>
            <w:tcMar>
              <w:top w:w="57" w:type="dxa"/>
              <w:bottom w:w="57" w:type="dxa"/>
            </w:tcMar>
          </w:tcPr>
          <w:p w14:paraId="2A370FD1" w14:textId="1736D6B2" w:rsidR="003A764C" w:rsidRDefault="003A764C" w:rsidP="005652A6">
            <w:pPr>
              <w:tabs>
                <w:tab w:val="center" w:pos="3152"/>
              </w:tabs>
              <w:rPr>
                <w:rFonts w:cs="Arial"/>
                <w:szCs w:val="19"/>
                <w:lang w:val="en-US"/>
              </w:rPr>
            </w:pPr>
            <w:r w:rsidRPr="003A764C">
              <w:rPr>
                <w:rFonts w:cs="Arial"/>
                <w:szCs w:val="19"/>
                <w:lang w:val="en-US"/>
              </w:rPr>
              <w:t>Prevention of phototoxicity in adolescent</w:t>
            </w:r>
            <w:r>
              <w:rPr>
                <w:rFonts w:cs="Arial"/>
                <w:szCs w:val="19"/>
                <w:lang w:val="en-US"/>
              </w:rPr>
              <w:t xml:space="preserve">s aged </w:t>
            </w:r>
            <w:r w:rsidRPr="003A764C">
              <w:rPr>
                <w:rFonts w:cs="Arial"/>
                <w:szCs w:val="19"/>
                <w:lang w:val="en-US"/>
              </w:rPr>
              <w:t xml:space="preserve">12 to </w:t>
            </w:r>
            <w:r w:rsidR="00F10D51">
              <w:rPr>
                <w:rFonts w:cs="Arial"/>
                <w:szCs w:val="19"/>
                <w:lang w:val="en-US"/>
              </w:rPr>
              <w:t>17</w:t>
            </w:r>
            <w:r w:rsidRPr="003A764C">
              <w:rPr>
                <w:rFonts w:cs="Arial"/>
                <w:szCs w:val="19"/>
                <w:lang w:val="en-US"/>
              </w:rPr>
              <w:t xml:space="preserve"> years with erythropoietic protoporphyria</w:t>
            </w:r>
            <w:r>
              <w:rPr>
                <w:rFonts w:cs="Arial"/>
                <w:szCs w:val="19"/>
                <w:lang w:val="en-US"/>
              </w:rPr>
              <w:t xml:space="preserve"> – EU filing withdrawn</w:t>
            </w:r>
          </w:p>
        </w:tc>
      </w:tr>
      <w:tr w:rsidR="00C70D7B" w14:paraId="55C0F273" w14:textId="77777777" w:rsidTr="003A764C">
        <w:tc>
          <w:tcPr>
            <w:tcW w:w="1293" w:type="pct"/>
            <w:shd w:val="clear" w:color="auto" w:fill="auto"/>
            <w:tcMar>
              <w:top w:w="57" w:type="dxa"/>
              <w:bottom w:w="57" w:type="dxa"/>
            </w:tcMar>
          </w:tcPr>
          <w:p w14:paraId="15DA8F3A" w14:textId="77777777" w:rsidR="00C70D7B" w:rsidRPr="001774EC" w:rsidRDefault="00C70D7B" w:rsidP="005652A6">
            <w:pPr>
              <w:rPr>
                <w:rFonts w:cs="Arial"/>
                <w:szCs w:val="19"/>
              </w:rPr>
            </w:pPr>
            <w:r>
              <w:rPr>
                <w:rFonts w:cs="Arial"/>
                <w:szCs w:val="19"/>
              </w:rPr>
              <w:t>Ataluren (</w:t>
            </w:r>
            <w:proofErr w:type="spellStart"/>
            <w:r>
              <w:rPr>
                <w:rFonts w:cs="Arial"/>
                <w:i/>
                <w:iCs/>
                <w:szCs w:val="19"/>
              </w:rPr>
              <w:t>Translarna</w:t>
            </w:r>
            <w:proofErr w:type="spellEnd"/>
            <w:r>
              <w:rPr>
                <w:rFonts w:cs="Arial"/>
                <w:szCs w:val="19"/>
              </w:rPr>
              <w:t>)</w:t>
            </w:r>
          </w:p>
        </w:tc>
        <w:tc>
          <w:tcPr>
            <w:tcW w:w="3707" w:type="pct"/>
            <w:shd w:val="clear" w:color="auto" w:fill="auto"/>
            <w:tcMar>
              <w:top w:w="57" w:type="dxa"/>
              <w:bottom w:w="57" w:type="dxa"/>
            </w:tcMar>
          </w:tcPr>
          <w:p w14:paraId="7CB563C2" w14:textId="77777777" w:rsidR="00C70D7B" w:rsidRDefault="00C70D7B" w:rsidP="005652A6">
            <w:pPr>
              <w:tabs>
                <w:tab w:val="center" w:pos="3152"/>
              </w:tabs>
              <w:rPr>
                <w:rFonts w:cs="Arial"/>
                <w:szCs w:val="19"/>
                <w:lang w:val="en-US"/>
              </w:rPr>
            </w:pPr>
            <w:r w:rsidRPr="001774EC">
              <w:rPr>
                <w:rFonts w:cs="Arial"/>
                <w:szCs w:val="19"/>
                <w:lang w:val="en-US"/>
              </w:rPr>
              <w:t xml:space="preserve">Duchenne muscular dystrophy </w:t>
            </w:r>
            <w:r w:rsidRPr="001774EC">
              <w:rPr>
                <w:rFonts w:cs="Arial"/>
                <w:szCs w:val="19"/>
                <w:lang w:val="en-US"/>
              </w:rPr>
              <w:tab/>
              <w:t xml:space="preserve">in patients aged 6 months to 2 years with nonsense mutation </w:t>
            </w:r>
            <w:r>
              <w:rPr>
                <w:rFonts w:cs="Arial"/>
                <w:szCs w:val="19"/>
                <w:lang w:val="en-US"/>
              </w:rPr>
              <w:t>– UK development discontinued (company decision)</w:t>
            </w:r>
            <w:r w:rsidRPr="001774EC">
              <w:rPr>
                <w:rFonts w:cs="Arial"/>
                <w:szCs w:val="19"/>
                <w:lang w:val="en-US"/>
              </w:rPr>
              <w:t xml:space="preserve">  </w:t>
            </w:r>
          </w:p>
        </w:tc>
      </w:tr>
      <w:tr w:rsidR="00C70D7B" w14:paraId="2719BB92" w14:textId="77777777" w:rsidTr="003A764C">
        <w:tc>
          <w:tcPr>
            <w:tcW w:w="1293" w:type="pct"/>
            <w:shd w:val="clear" w:color="auto" w:fill="auto"/>
            <w:tcMar>
              <w:top w:w="57" w:type="dxa"/>
              <w:bottom w:w="57" w:type="dxa"/>
            </w:tcMar>
          </w:tcPr>
          <w:p w14:paraId="6622120C" w14:textId="77777777" w:rsidR="00C70D7B" w:rsidRDefault="00C70D7B" w:rsidP="005652A6">
            <w:pPr>
              <w:rPr>
                <w:rFonts w:cs="Arial"/>
                <w:szCs w:val="19"/>
              </w:rPr>
            </w:pPr>
            <w:r w:rsidRPr="00D13B1A">
              <w:rPr>
                <w:rFonts w:cs="Arial"/>
                <w:szCs w:val="19"/>
              </w:rPr>
              <w:t>Fluticasone furoate + umeclidinium + vilanterol </w:t>
            </w:r>
          </w:p>
          <w:p w14:paraId="441B4242" w14:textId="77777777" w:rsidR="00C70D7B" w:rsidRPr="00D13B1A" w:rsidRDefault="00C70D7B" w:rsidP="005652A6">
            <w:pPr>
              <w:rPr>
                <w:rFonts w:cs="Arial"/>
                <w:i/>
                <w:iCs/>
                <w:szCs w:val="19"/>
              </w:rPr>
            </w:pPr>
            <w:r>
              <w:rPr>
                <w:rFonts w:cs="Arial"/>
                <w:szCs w:val="19"/>
              </w:rPr>
              <w:t>(</w:t>
            </w:r>
            <w:proofErr w:type="spellStart"/>
            <w:r w:rsidRPr="00D13B1A">
              <w:rPr>
                <w:rFonts w:cs="Arial"/>
                <w:i/>
                <w:iCs/>
                <w:szCs w:val="19"/>
              </w:rPr>
              <w:t>Trelegy</w:t>
            </w:r>
            <w:proofErr w:type="spellEnd"/>
            <w:r w:rsidRPr="00D13B1A">
              <w:rPr>
                <w:rFonts w:cs="Arial"/>
                <w:i/>
                <w:iCs/>
                <w:szCs w:val="19"/>
              </w:rPr>
              <w:t xml:space="preserve"> Ellipta</w:t>
            </w:r>
            <w:r>
              <w:rPr>
                <w:rFonts w:cs="Arial"/>
                <w:szCs w:val="19"/>
              </w:rPr>
              <w:t>)</w:t>
            </w:r>
          </w:p>
        </w:tc>
        <w:tc>
          <w:tcPr>
            <w:tcW w:w="3707" w:type="pct"/>
            <w:shd w:val="clear" w:color="auto" w:fill="auto"/>
            <w:tcMar>
              <w:top w:w="57" w:type="dxa"/>
              <w:bottom w:w="57" w:type="dxa"/>
            </w:tcMar>
          </w:tcPr>
          <w:p w14:paraId="64C9A708" w14:textId="77777777" w:rsidR="00C70D7B" w:rsidRPr="00C05FAF" w:rsidRDefault="00C70D7B" w:rsidP="005652A6">
            <w:pPr>
              <w:tabs>
                <w:tab w:val="center" w:pos="3152"/>
              </w:tabs>
              <w:rPr>
                <w:rFonts w:cs="Arial"/>
                <w:szCs w:val="19"/>
                <w:lang w:val="en-US"/>
              </w:rPr>
            </w:pPr>
            <w:r w:rsidRPr="004E4899">
              <w:rPr>
                <w:rFonts w:cs="Arial"/>
                <w:szCs w:val="19"/>
                <w:lang w:val="en-US"/>
              </w:rPr>
              <w:t>Maintenance treatment in adults with asthma whose symptoms could not be controlled well enough with a combination of inhaled corticosteroid and a long-acting beta-2 agonist</w:t>
            </w:r>
            <w:r>
              <w:rPr>
                <w:rFonts w:cs="Arial"/>
                <w:szCs w:val="19"/>
                <w:lang w:val="en-US"/>
              </w:rPr>
              <w:t xml:space="preserve"> – UK filing withdrawn</w:t>
            </w:r>
          </w:p>
        </w:tc>
      </w:tr>
      <w:tr w:rsidR="00C70D7B" w14:paraId="3FDC04AC" w14:textId="77777777" w:rsidTr="003A764C">
        <w:tc>
          <w:tcPr>
            <w:tcW w:w="1293" w:type="pct"/>
            <w:shd w:val="clear" w:color="auto" w:fill="auto"/>
            <w:tcMar>
              <w:top w:w="57" w:type="dxa"/>
              <w:bottom w:w="57" w:type="dxa"/>
            </w:tcMar>
          </w:tcPr>
          <w:p w14:paraId="213D8577" w14:textId="77777777" w:rsidR="00C70D7B" w:rsidRDefault="00C70D7B" w:rsidP="005652A6">
            <w:pPr>
              <w:rPr>
                <w:rFonts w:cs="Arial"/>
                <w:szCs w:val="19"/>
              </w:rPr>
            </w:pPr>
            <w:proofErr w:type="spellStart"/>
            <w:r w:rsidRPr="001B32D6">
              <w:rPr>
                <w:rFonts w:cs="Arial"/>
                <w:szCs w:val="19"/>
              </w:rPr>
              <w:t>Lisocabtagene</w:t>
            </w:r>
            <w:proofErr w:type="spellEnd"/>
            <w:r w:rsidRPr="001B32D6">
              <w:rPr>
                <w:rFonts w:cs="Arial"/>
                <w:szCs w:val="19"/>
              </w:rPr>
              <w:t xml:space="preserve"> </w:t>
            </w:r>
            <w:proofErr w:type="spellStart"/>
            <w:r w:rsidRPr="001B32D6">
              <w:rPr>
                <w:rFonts w:cs="Arial"/>
                <w:szCs w:val="19"/>
              </w:rPr>
              <w:t>maraleucel</w:t>
            </w:r>
            <w:proofErr w:type="spellEnd"/>
            <w:r w:rsidRPr="001B32D6">
              <w:rPr>
                <w:rFonts w:cs="Arial"/>
                <w:szCs w:val="19"/>
              </w:rPr>
              <w:t xml:space="preserve"> (</w:t>
            </w:r>
            <w:proofErr w:type="spellStart"/>
            <w:r w:rsidRPr="001B32D6">
              <w:rPr>
                <w:rFonts w:cs="Arial"/>
                <w:i/>
                <w:iCs/>
                <w:szCs w:val="19"/>
              </w:rPr>
              <w:t>Breyanzi</w:t>
            </w:r>
            <w:proofErr w:type="spellEnd"/>
            <w:r w:rsidRPr="001B32D6">
              <w:rPr>
                <w:rFonts w:cs="Arial"/>
                <w:szCs w:val="19"/>
              </w:rPr>
              <w:t>)</w:t>
            </w:r>
          </w:p>
        </w:tc>
        <w:tc>
          <w:tcPr>
            <w:tcW w:w="3707" w:type="pct"/>
            <w:shd w:val="clear" w:color="auto" w:fill="auto"/>
            <w:tcMar>
              <w:top w:w="57" w:type="dxa"/>
              <w:bottom w:w="57" w:type="dxa"/>
            </w:tcMar>
          </w:tcPr>
          <w:p w14:paraId="5035ED43" w14:textId="77777777" w:rsidR="00C70D7B" w:rsidRDefault="00C70D7B" w:rsidP="005652A6">
            <w:pPr>
              <w:tabs>
                <w:tab w:val="center" w:pos="3152"/>
              </w:tabs>
              <w:rPr>
                <w:rFonts w:cs="Arial"/>
                <w:szCs w:val="19"/>
                <w:lang w:val="en-US"/>
              </w:rPr>
            </w:pPr>
            <w:r>
              <w:rPr>
                <w:rFonts w:cs="Arial"/>
                <w:szCs w:val="19"/>
                <w:lang w:val="en-US"/>
              </w:rPr>
              <w:t>Relapsed or refractory c</w:t>
            </w:r>
            <w:r w:rsidRPr="001B32D6">
              <w:rPr>
                <w:rFonts w:cs="Arial"/>
                <w:szCs w:val="19"/>
                <w:lang w:val="en-US"/>
              </w:rPr>
              <w:t>hronic lymphocytic leukaemia or small lymphocytic lymph</w:t>
            </w:r>
            <w:r>
              <w:rPr>
                <w:rFonts w:cs="Arial"/>
                <w:szCs w:val="19"/>
                <w:lang w:val="en-US"/>
              </w:rPr>
              <w:t xml:space="preserve">oma </w:t>
            </w:r>
            <w:r w:rsidRPr="001B32D6">
              <w:rPr>
                <w:rFonts w:cs="Arial"/>
                <w:szCs w:val="19"/>
                <w:lang w:val="en-US"/>
              </w:rPr>
              <w:t xml:space="preserve">in adults </w:t>
            </w:r>
            <w:r>
              <w:rPr>
                <w:rFonts w:cs="Arial"/>
                <w:szCs w:val="19"/>
                <w:lang w:val="en-US"/>
              </w:rPr>
              <w:t>–</w:t>
            </w:r>
            <w:r w:rsidRPr="001B32D6">
              <w:rPr>
                <w:rFonts w:cs="Arial"/>
                <w:szCs w:val="19"/>
                <w:lang w:val="en-US"/>
              </w:rPr>
              <w:t xml:space="preserve"> </w:t>
            </w:r>
            <w:r>
              <w:rPr>
                <w:rFonts w:cs="Arial"/>
                <w:szCs w:val="19"/>
                <w:lang w:val="en-US"/>
              </w:rPr>
              <w:t>UK development discontinued (company decision)</w:t>
            </w:r>
          </w:p>
        </w:tc>
      </w:tr>
      <w:tr w:rsidR="00584F8E" w14:paraId="389B345D" w14:textId="77777777" w:rsidTr="003A764C">
        <w:tc>
          <w:tcPr>
            <w:tcW w:w="1293" w:type="pct"/>
            <w:shd w:val="clear" w:color="auto" w:fill="auto"/>
            <w:tcMar>
              <w:top w:w="57" w:type="dxa"/>
              <w:bottom w:w="57" w:type="dxa"/>
            </w:tcMar>
          </w:tcPr>
          <w:p w14:paraId="60E23121" w14:textId="18662042" w:rsidR="00584F8E" w:rsidRPr="000C16B1" w:rsidRDefault="00584F8E" w:rsidP="005652A6">
            <w:pPr>
              <w:rPr>
                <w:rFonts w:cs="Arial"/>
                <w:szCs w:val="19"/>
              </w:rPr>
            </w:pPr>
            <w:proofErr w:type="spellStart"/>
            <w:r w:rsidRPr="00584F8E">
              <w:rPr>
                <w:rFonts w:cs="Arial"/>
                <w:szCs w:val="19"/>
              </w:rPr>
              <w:t>Omecamtiv</w:t>
            </w:r>
            <w:proofErr w:type="spellEnd"/>
            <w:r w:rsidRPr="00584F8E">
              <w:rPr>
                <w:rFonts w:cs="Arial"/>
                <w:szCs w:val="19"/>
              </w:rPr>
              <w:t xml:space="preserve"> </w:t>
            </w:r>
            <w:proofErr w:type="spellStart"/>
            <w:r w:rsidRPr="00584F8E">
              <w:rPr>
                <w:rFonts w:cs="Arial"/>
                <w:szCs w:val="19"/>
              </w:rPr>
              <w:t>mecarbil</w:t>
            </w:r>
            <w:proofErr w:type="spellEnd"/>
            <w:r w:rsidR="000C16B1">
              <w:rPr>
                <w:rFonts w:cs="Arial"/>
                <w:szCs w:val="19"/>
              </w:rPr>
              <w:t xml:space="preserve"> (</w:t>
            </w:r>
            <w:proofErr w:type="spellStart"/>
            <w:r w:rsidR="000C16B1">
              <w:rPr>
                <w:rFonts w:cs="Arial"/>
                <w:i/>
                <w:iCs/>
                <w:szCs w:val="19"/>
              </w:rPr>
              <w:t>Kinharto</w:t>
            </w:r>
            <w:proofErr w:type="spellEnd"/>
            <w:r w:rsidR="000C16B1">
              <w:rPr>
                <w:rFonts w:cs="Arial"/>
                <w:szCs w:val="19"/>
              </w:rPr>
              <w:t>)</w:t>
            </w:r>
          </w:p>
        </w:tc>
        <w:tc>
          <w:tcPr>
            <w:tcW w:w="3707" w:type="pct"/>
            <w:shd w:val="clear" w:color="auto" w:fill="auto"/>
            <w:tcMar>
              <w:top w:w="57" w:type="dxa"/>
              <w:bottom w:w="57" w:type="dxa"/>
            </w:tcMar>
          </w:tcPr>
          <w:p w14:paraId="6083BA9E" w14:textId="0302784F" w:rsidR="00584F8E" w:rsidRDefault="00584F8E" w:rsidP="005652A6">
            <w:pPr>
              <w:tabs>
                <w:tab w:val="center" w:pos="3152"/>
              </w:tabs>
              <w:rPr>
                <w:rFonts w:cs="Arial"/>
                <w:szCs w:val="19"/>
                <w:lang w:val="en-US"/>
              </w:rPr>
            </w:pPr>
            <w:r w:rsidRPr="00584F8E">
              <w:rPr>
                <w:rFonts w:cs="Arial"/>
                <w:szCs w:val="19"/>
                <w:lang w:val="en-US"/>
              </w:rPr>
              <w:t>Chronic</w:t>
            </w:r>
            <w:r>
              <w:rPr>
                <w:rFonts w:cs="Arial"/>
                <w:szCs w:val="19"/>
                <w:lang w:val="en-US"/>
              </w:rPr>
              <w:t xml:space="preserve"> heart failure</w:t>
            </w:r>
            <w:r w:rsidRPr="00584F8E">
              <w:rPr>
                <w:rFonts w:cs="Arial"/>
                <w:szCs w:val="19"/>
                <w:lang w:val="en-US"/>
              </w:rPr>
              <w:t xml:space="preserve"> in </w:t>
            </w:r>
            <w:r>
              <w:rPr>
                <w:rFonts w:cs="Arial"/>
                <w:szCs w:val="19"/>
                <w:lang w:val="en-US"/>
              </w:rPr>
              <w:t>adults</w:t>
            </w:r>
            <w:r w:rsidRPr="00584F8E">
              <w:rPr>
                <w:rFonts w:cs="Arial"/>
                <w:szCs w:val="19"/>
                <w:lang w:val="en-US"/>
              </w:rPr>
              <w:t xml:space="preserve"> with left ventricular systolic dysfunction and reduced ejection fraction</w:t>
            </w:r>
            <w:r>
              <w:rPr>
                <w:rFonts w:cs="Arial"/>
                <w:szCs w:val="19"/>
                <w:lang w:val="en-US"/>
              </w:rPr>
              <w:t xml:space="preserve"> – EU filing withdrawn</w:t>
            </w:r>
          </w:p>
        </w:tc>
      </w:tr>
      <w:tr w:rsidR="00C70D7B" w14:paraId="11FE71DA" w14:textId="77777777" w:rsidTr="003A764C">
        <w:tc>
          <w:tcPr>
            <w:tcW w:w="1293" w:type="pct"/>
            <w:shd w:val="clear" w:color="auto" w:fill="auto"/>
            <w:tcMar>
              <w:top w:w="57" w:type="dxa"/>
              <w:bottom w:w="57" w:type="dxa"/>
            </w:tcMar>
          </w:tcPr>
          <w:p w14:paraId="76AC1272" w14:textId="77777777" w:rsidR="00C70D7B" w:rsidRPr="001171CF" w:rsidRDefault="00C70D7B" w:rsidP="005652A6">
            <w:pPr>
              <w:rPr>
                <w:rFonts w:cs="Arial"/>
                <w:szCs w:val="19"/>
              </w:rPr>
            </w:pPr>
            <w:proofErr w:type="spellStart"/>
            <w:r w:rsidRPr="00A60811">
              <w:rPr>
                <w:rFonts w:cs="Arial"/>
                <w:szCs w:val="19"/>
              </w:rPr>
              <w:t>Opnurasib</w:t>
            </w:r>
            <w:proofErr w:type="spellEnd"/>
            <w:r>
              <w:rPr>
                <w:rFonts w:cs="Arial"/>
                <w:szCs w:val="19"/>
              </w:rPr>
              <w:t xml:space="preserve"> </w:t>
            </w:r>
          </w:p>
        </w:tc>
        <w:tc>
          <w:tcPr>
            <w:tcW w:w="3707" w:type="pct"/>
            <w:shd w:val="clear" w:color="auto" w:fill="auto"/>
            <w:tcMar>
              <w:top w:w="57" w:type="dxa"/>
              <w:bottom w:w="57" w:type="dxa"/>
            </w:tcMar>
          </w:tcPr>
          <w:p w14:paraId="424CA90F" w14:textId="77777777" w:rsidR="00C70D7B" w:rsidRDefault="00C70D7B" w:rsidP="005652A6">
            <w:pPr>
              <w:tabs>
                <w:tab w:val="center" w:pos="3152"/>
              </w:tabs>
              <w:rPr>
                <w:rFonts w:cs="Arial"/>
                <w:szCs w:val="19"/>
                <w:lang w:val="en-US"/>
              </w:rPr>
            </w:pPr>
            <w:r>
              <w:rPr>
                <w:rFonts w:cs="Arial"/>
                <w:szCs w:val="19"/>
                <w:lang w:val="en-US"/>
              </w:rPr>
              <w:t>Advanced n</w:t>
            </w:r>
            <w:r w:rsidRPr="00A60811">
              <w:rPr>
                <w:rFonts w:cs="Arial"/>
                <w:szCs w:val="19"/>
                <w:lang w:val="en-US"/>
              </w:rPr>
              <w:t xml:space="preserve">on-small cell lung cancer, KRAS G12C mutant in previously treated adults </w:t>
            </w:r>
            <w:r>
              <w:rPr>
                <w:rFonts w:cs="Arial"/>
                <w:szCs w:val="19"/>
                <w:lang w:val="en-US"/>
              </w:rPr>
              <w:t>–</w:t>
            </w:r>
            <w:r w:rsidRPr="00A60811">
              <w:rPr>
                <w:rFonts w:cs="Arial"/>
                <w:szCs w:val="19"/>
                <w:lang w:val="en-US"/>
              </w:rPr>
              <w:t xml:space="preserve"> </w:t>
            </w:r>
            <w:r>
              <w:rPr>
                <w:rFonts w:cs="Arial"/>
                <w:szCs w:val="19"/>
                <w:lang w:val="en-US"/>
              </w:rPr>
              <w:t>development discontinued (company decision)</w:t>
            </w:r>
          </w:p>
        </w:tc>
      </w:tr>
      <w:tr w:rsidR="00C70D7B" w14:paraId="6E518162" w14:textId="77777777" w:rsidTr="003A764C">
        <w:tc>
          <w:tcPr>
            <w:tcW w:w="1293" w:type="pct"/>
            <w:shd w:val="clear" w:color="auto" w:fill="auto"/>
            <w:tcMar>
              <w:top w:w="57" w:type="dxa"/>
              <w:bottom w:w="57" w:type="dxa"/>
            </w:tcMar>
          </w:tcPr>
          <w:p w14:paraId="69628405" w14:textId="77777777" w:rsidR="00C70D7B" w:rsidRPr="00672A42" w:rsidRDefault="00C70D7B" w:rsidP="005652A6">
            <w:pPr>
              <w:rPr>
                <w:rFonts w:cs="Arial"/>
                <w:szCs w:val="19"/>
              </w:rPr>
            </w:pPr>
            <w:r w:rsidRPr="001171CF">
              <w:rPr>
                <w:rFonts w:cs="Arial"/>
                <w:szCs w:val="19"/>
              </w:rPr>
              <w:t xml:space="preserve">Pembrolizumab + </w:t>
            </w:r>
            <w:proofErr w:type="spellStart"/>
            <w:r w:rsidRPr="001171CF">
              <w:rPr>
                <w:rFonts w:cs="Arial"/>
                <w:szCs w:val="19"/>
              </w:rPr>
              <w:t>vibostolimab</w:t>
            </w:r>
            <w:proofErr w:type="spellEnd"/>
            <w:r w:rsidRPr="001171CF">
              <w:rPr>
                <w:rFonts w:cs="Arial"/>
                <w:szCs w:val="19"/>
              </w:rPr>
              <w:t> </w:t>
            </w:r>
          </w:p>
        </w:tc>
        <w:tc>
          <w:tcPr>
            <w:tcW w:w="3707" w:type="pct"/>
            <w:shd w:val="clear" w:color="auto" w:fill="auto"/>
            <w:tcMar>
              <w:top w:w="57" w:type="dxa"/>
              <w:bottom w:w="57" w:type="dxa"/>
            </w:tcMar>
          </w:tcPr>
          <w:p w14:paraId="036FAD21" w14:textId="77777777" w:rsidR="00C70D7B" w:rsidRDefault="00C70D7B" w:rsidP="005652A6">
            <w:pPr>
              <w:tabs>
                <w:tab w:val="center" w:pos="3152"/>
              </w:tabs>
              <w:rPr>
                <w:rFonts w:cs="Arial"/>
                <w:szCs w:val="19"/>
                <w:lang w:val="en-US"/>
              </w:rPr>
            </w:pPr>
            <w:r>
              <w:rPr>
                <w:rFonts w:cs="Arial"/>
                <w:szCs w:val="19"/>
                <w:lang w:val="en-US"/>
              </w:rPr>
              <w:t>H</w:t>
            </w:r>
            <w:r w:rsidRPr="001171CF">
              <w:rPr>
                <w:rFonts w:cs="Arial"/>
                <w:szCs w:val="19"/>
                <w:lang w:val="en-US"/>
              </w:rPr>
              <w:t>igh-risk, completely resected</w:t>
            </w:r>
            <w:r>
              <w:rPr>
                <w:rFonts w:cs="Arial"/>
                <w:szCs w:val="19"/>
                <w:lang w:val="en-US"/>
              </w:rPr>
              <w:t xml:space="preserve"> melanoma</w:t>
            </w:r>
            <w:r w:rsidRPr="001171CF">
              <w:rPr>
                <w:rFonts w:cs="Arial"/>
                <w:szCs w:val="19"/>
                <w:lang w:val="en-US"/>
              </w:rPr>
              <w:t xml:space="preserve"> in adults</w:t>
            </w:r>
            <w:r>
              <w:rPr>
                <w:rFonts w:cs="Arial"/>
                <w:szCs w:val="19"/>
                <w:lang w:val="en-US"/>
              </w:rPr>
              <w:t>, adjuvant therapy – development discontinued (lack of efficacy)</w:t>
            </w:r>
          </w:p>
        </w:tc>
      </w:tr>
      <w:tr w:rsidR="00C70D7B" w14:paraId="1DE5A822" w14:textId="77777777" w:rsidTr="003A764C">
        <w:tc>
          <w:tcPr>
            <w:tcW w:w="1293" w:type="pct"/>
            <w:shd w:val="clear" w:color="auto" w:fill="auto"/>
            <w:tcMar>
              <w:top w:w="57" w:type="dxa"/>
              <w:bottom w:w="57" w:type="dxa"/>
            </w:tcMar>
          </w:tcPr>
          <w:p w14:paraId="47DD87DC" w14:textId="77777777" w:rsidR="00C70D7B" w:rsidRPr="00660B05" w:rsidRDefault="00C70D7B" w:rsidP="005652A6">
            <w:pPr>
              <w:rPr>
                <w:rFonts w:cs="Arial"/>
                <w:szCs w:val="19"/>
              </w:rPr>
            </w:pPr>
            <w:r>
              <w:rPr>
                <w:rFonts w:cs="Arial"/>
                <w:szCs w:val="19"/>
              </w:rPr>
              <w:t>TAK-007</w:t>
            </w:r>
          </w:p>
        </w:tc>
        <w:tc>
          <w:tcPr>
            <w:tcW w:w="3707" w:type="pct"/>
            <w:shd w:val="clear" w:color="auto" w:fill="auto"/>
            <w:tcMar>
              <w:top w:w="57" w:type="dxa"/>
              <w:bottom w:w="57" w:type="dxa"/>
            </w:tcMar>
          </w:tcPr>
          <w:p w14:paraId="68D8D789" w14:textId="77777777" w:rsidR="00F87BD9" w:rsidRDefault="00C70D7B" w:rsidP="00F87BD9">
            <w:pPr>
              <w:tabs>
                <w:tab w:val="center" w:pos="3152"/>
              </w:tabs>
              <w:rPr>
                <w:rFonts w:cs="Arial"/>
                <w:szCs w:val="19"/>
                <w:lang w:val="en-US"/>
              </w:rPr>
            </w:pPr>
            <w:r>
              <w:rPr>
                <w:rFonts w:cs="Arial"/>
                <w:szCs w:val="19"/>
                <w:lang w:val="en-US"/>
              </w:rPr>
              <w:t xml:space="preserve">B-cell </w:t>
            </w:r>
            <w:proofErr w:type="spellStart"/>
            <w:r>
              <w:rPr>
                <w:rFonts w:cs="Arial"/>
                <w:szCs w:val="19"/>
                <w:lang w:val="en-US"/>
              </w:rPr>
              <w:t>h</w:t>
            </w:r>
            <w:r w:rsidRPr="0045466E">
              <w:rPr>
                <w:rFonts w:cs="Arial"/>
                <w:szCs w:val="19"/>
                <w:lang w:val="en-US"/>
              </w:rPr>
              <w:t>aematological</w:t>
            </w:r>
            <w:proofErr w:type="spellEnd"/>
            <w:r w:rsidRPr="0045466E">
              <w:rPr>
                <w:rFonts w:cs="Arial"/>
                <w:szCs w:val="19"/>
                <w:lang w:val="en-US"/>
              </w:rPr>
              <w:t xml:space="preserve"> malignancies</w:t>
            </w:r>
            <w:r>
              <w:rPr>
                <w:rFonts w:cs="Arial"/>
                <w:szCs w:val="19"/>
                <w:lang w:val="en-US"/>
              </w:rPr>
              <w:t xml:space="preserve"> in adults – development discontinued </w:t>
            </w:r>
          </w:p>
          <w:p w14:paraId="7949C3B3" w14:textId="6034E8EE" w:rsidR="00C70D7B" w:rsidRPr="008E641A" w:rsidRDefault="00C70D7B" w:rsidP="00F87BD9">
            <w:pPr>
              <w:tabs>
                <w:tab w:val="center" w:pos="3152"/>
              </w:tabs>
              <w:rPr>
                <w:rFonts w:cs="Arial"/>
                <w:szCs w:val="19"/>
                <w:lang w:val="en-US"/>
              </w:rPr>
            </w:pPr>
            <w:r>
              <w:rPr>
                <w:rFonts w:cs="Arial"/>
                <w:szCs w:val="19"/>
                <w:lang w:val="en-US"/>
              </w:rPr>
              <w:t>(company decision)</w:t>
            </w:r>
          </w:p>
        </w:tc>
      </w:tr>
      <w:tr w:rsidR="00C70D7B" w14:paraId="7D364AF6" w14:textId="77777777" w:rsidTr="003A764C">
        <w:tc>
          <w:tcPr>
            <w:tcW w:w="1293" w:type="pct"/>
            <w:shd w:val="clear" w:color="auto" w:fill="auto"/>
            <w:tcMar>
              <w:top w:w="57" w:type="dxa"/>
              <w:bottom w:w="57" w:type="dxa"/>
            </w:tcMar>
          </w:tcPr>
          <w:p w14:paraId="0E6FEECE" w14:textId="77777777" w:rsidR="00C70D7B" w:rsidRPr="00A63D29" w:rsidRDefault="00C70D7B" w:rsidP="005652A6">
            <w:pPr>
              <w:rPr>
                <w:rFonts w:cs="Arial"/>
                <w:szCs w:val="19"/>
              </w:rPr>
            </w:pPr>
            <w:r>
              <w:rPr>
                <w:rFonts w:cs="Arial"/>
                <w:szCs w:val="19"/>
              </w:rPr>
              <w:t>VTX-801</w:t>
            </w:r>
          </w:p>
        </w:tc>
        <w:tc>
          <w:tcPr>
            <w:tcW w:w="3707" w:type="pct"/>
            <w:shd w:val="clear" w:color="auto" w:fill="auto"/>
            <w:tcMar>
              <w:top w:w="57" w:type="dxa"/>
              <w:bottom w:w="57" w:type="dxa"/>
            </w:tcMar>
          </w:tcPr>
          <w:p w14:paraId="77290F21" w14:textId="77777777" w:rsidR="00C70D7B" w:rsidRDefault="00C70D7B" w:rsidP="005652A6">
            <w:pPr>
              <w:tabs>
                <w:tab w:val="center" w:pos="3152"/>
              </w:tabs>
              <w:rPr>
                <w:rFonts w:cs="Arial"/>
                <w:szCs w:val="19"/>
                <w:lang w:val="en-US"/>
              </w:rPr>
            </w:pPr>
            <w:r>
              <w:rPr>
                <w:rFonts w:cs="Arial"/>
                <w:szCs w:val="19"/>
                <w:lang w:val="en-US"/>
              </w:rPr>
              <w:t>Wilson’s disease in adults – development discontinued (company decision)</w:t>
            </w:r>
          </w:p>
        </w:tc>
      </w:tr>
      <w:tr w:rsidR="00C70D7B" w:rsidRPr="000F19E1" w14:paraId="66A22059" w14:textId="77777777" w:rsidTr="003A764C">
        <w:tc>
          <w:tcPr>
            <w:tcW w:w="1293" w:type="pct"/>
            <w:shd w:val="clear" w:color="auto" w:fill="auto"/>
            <w:tcMar>
              <w:top w:w="0" w:type="dxa"/>
              <w:bottom w:w="0" w:type="dxa"/>
            </w:tcMar>
          </w:tcPr>
          <w:p w14:paraId="26E6C7D0" w14:textId="77777777" w:rsidR="00C70D7B" w:rsidRPr="000F19E1" w:rsidRDefault="00C70D7B" w:rsidP="005652A6">
            <w:pPr>
              <w:rPr>
                <w:rFonts w:cs="Arial"/>
                <w:bCs/>
                <w:sz w:val="8"/>
                <w:szCs w:val="8"/>
              </w:rPr>
            </w:pPr>
          </w:p>
        </w:tc>
        <w:tc>
          <w:tcPr>
            <w:tcW w:w="3707" w:type="pct"/>
            <w:shd w:val="clear" w:color="auto" w:fill="auto"/>
            <w:tcMar>
              <w:top w:w="0" w:type="dxa"/>
              <w:bottom w:w="0" w:type="dxa"/>
            </w:tcMar>
          </w:tcPr>
          <w:p w14:paraId="7E8C478E" w14:textId="77777777" w:rsidR="00C70D7B" w:rsidRPr="000F19E1" w:rsidRDefault="00C70D7B" w:rsidP="005652A6">
            <w:pPr>
              <w:tabs>
                <w:tab w:val="center" w:pos="3152"/>
              </w:tabs>
              <w:rPr>
                <w:rFonts w:cs="Arial"/>
                <w:sz w:val="8"/>
                <w:szCs w:val="8"/>
                <w:lang w:val="en-US"/>
              </w:rPr>
            </w:pPr>
          </w:p>
        </w:tc>
      </w:tr>
      <w:tr w:rsidR="00C70D7B" w:rsidRPr="000F19E1" w14:paraId="3F781E65" w14:textId="77777777" w:rsidTr="003A764C">
        <w:tc>
          <w:tcPr>
            <w:tcW w:w="1293" w:type="pct"/>
            <w:shd w:val="clear" w:color="auto" w:fill="DAEEF3"/>
            <w:tcMar>
              <w:top w:w="0" w:type="dxa"/>
              <w:bottom w:w="0" w:type="dxa"/>
            </w:tcMar>
          </w:tcPr>
          <w:p w14:paraId="74BFE9A5" w14:textId="77777777" w:rsidR="00C70D7B" w:rsidRPr="000F19E1" w:rsidRDefault="00C70D7B" w:rsidP="005652A6">
            <w:pPr>
              <w:rPr>
                <w:rFonts w:cs="Arial"/>
                <w:bCs/>
                <w:sz w:val="8"/>
                <w:szCs w:val="8"/>
              </w:rPr>
            </w:pPr>
          </w:p>
        </w:tc>
        <w:tc>
          <w:tcPr>
            <w:tcW w:w="3707" w:type="pct"/>
            <w:shd w:val="clear" w:color="auto" w:fill="DAEEF3"/>
            <w:tcMar>
              <w:top w:w="0" w:type="dxa"/>
              <w:bottom w:w="0" w:type="dxa"/>
            </w:tcMar>
          </w:tcPr>
          <w:p w14:paraId="01734DB1" w14:textId="77777777" w:rsidR="00C70D7B" w:rsidRPr="000F19E1" w:rsidRDefault="00C70D7B" w:rsidP="005652A6">
            <w:pPr>
              <w:tabs>
                <w:tab w:val="center" w:pos="3152"/>
              </w:tabs>
              <w:rPr>
                <w:rFonts w:cs="Arial"/>
                <w:sz w:val="8"/>
                <w:szCs w:val="8"/>
                <w:lang w:val="en-US"/>
              </w:rPr>
            </w:pPr>
          </w:p>
        </w:tc>
      </w:tr>
    </w:tbl>
    <w:p w14:paraId="58A9ABCD" w14:textId="77777777" w:rsidR="00C70D7B" w:rsidRDefault="00C70D7B" w:rsidP="00BD0029">
      <w:pPr>
        <w:rPr>
          <w:sz w:val="18"/>
        </w:rPr>
      </w:pPr>
    </w:p>
    <w:sectPr w:rsidR="00C70D7B" w:rsidSect="00F566AB">
      <w:headerReference w:type="even" r:id="rId15"/>
      <w:headerReference w:type="default" r:id="rId16"/>
      <w:footerReference w:type="default" r:id="rId17"/>
      <w:headerReference w:type="first" r:id="rId18"/>
      <w:type w:val="evenPage"/>
      <w:pgSz w:w="11906" w:h="16838" w:code="9"/>
      <w:pgMar w:top="1021" w:right="851" w:bottom="1021" w:left="85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4F6F4" w14:textId="77777777" w:rsidR="00DB332B" w:rsidRDefault="00DB332B">
      <w:r>
        <w:separator/>
      </w:r>
    </w:p>
  </w:endnote>
  <w:endnote w:type="continuationSeparator" w:id="0">
    <w:p w14:paraId="62B5405A" w14:textId="77777777" w:rsidR="00DB332B" w:rsidRDefault="00DB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303" w:type="dxa"/>
      <w:tblBorders>
        <w:top w:val="single" w:sz="4" w:space="0" w:color="000000"/>
        <w:left w:val="single" w:sz="4" w:space="0" w:color="000000"/>
        <w:bottom w:val="single" w:sz="4" w:space="0" w:color="000000"/>
        <w:right w:val="single" w:sz="4" w:space="0" w:color="000000"/>
        <w:insideH w:val="single" w:sz="4" w:space="0" w:color="000000"/>
      </w:tblBorders>
      <w:tblLook w:val="01E0" w:firstRow="1" w:lastRow="1" w:firstColumn="1" w:lastColumn="1" w:noHBand="0" w:noVBand="0"/>
    </w:tblPr>
    <w:tblGrid>
      <w:gridCol w:w="10980"/>
    </w:tblGrid>
    <w:tr w:rsidR="000D44DB" w:rsidRPr="00710A1C" w14:paraId="7A300C55" w14:textId="77777777">
      <w:tc>
        <w:tcPr>
          <w:tcW w:w="10980" w:type="dxa"/>
          <w:shd w:val="clear" w:color="auto" w:fill="3366FF"/>
          <w:tcMar>
            <w:top w:w="28" w:type="dxa"/>
            <w:left w:w="57" w:type="dxa"/>
            <w:bottom w:w="28" w:type="dxa"/>
            <w:right w:w="57" w:type="dxa"/>
          </w:tcMar>
        </w:tcPr>
        <w:p w14:paraId="53C65176" w14:textId="77777777" w:rsidR="000D44DB" w:rsidRPr="00710A1C" w:rsidRDefault="000D44DB" w:rsidP="00710A1C">
          <w:pPr>
            <w:spacing w:before="60" w:after="60"/>
            <w:ind w:right="57"/>
            <w:rPr>
              <w:rFonts w:ascii="Verdana" w:hAnsi="Verdana" w:cs="Arial"/>
              <w:b/>
              <w:bCs/>
              <w:color w:val="000080"/>
              <w:sz w:val="15"/>
              <w:szCs w:val="15"/>
              <w:lang w:val="en-US"/>
            </w:rPr>
          </w:pPr>
          <w:r w:rsidRPr="00710A1C">
            <w:rPr>
              <w:rFonts w:ascii="Verdana" w:hAnsi="Verdana" w:cs="Arial"/>
              <w:b/>
              <w:bCs/>
              <w:color w:val="FFFFFF"/>
              <w:sz w:val="15"/>
              <w:szCs w:val="15"/>
              <w:lang w:val="en-US"/>
            </w:rPr>
            <w:t xml:space="preserve">If you do not wish to continue receiving NDO </w:t>
          </w:r>
          <w:r w:rsidRPr="00710A1C">
            <w:rPr>
              <w:rFonts w:ascii="Verdana" w:hAnsi="Verdana" w:cs="Arial"/>
              <w:b/>
              <w:bCs/>
              <w:i/>
              <w:color w:val="FFFFFF"/>
              <w:sz w:val="15"/>
              <w:szCs w:val="15"/>
              <w:lang w:val="en-US"/>
            </w:rPr>
            <w:t>Newsletter</w:t>
          </w:r>
          <w:r w:rsidRPr="00710A1C">
            <w:rPr>
              <w:rFonts w:ascii="Verdana" w:hAnsi="Verdana" w:cs="Arial"/>
              <w:b/>
              <w:bCs/>
              <w:color w:val="FFFFFF"/>
              <w:sz w:val="15"/>
              <w:szCs w:val="15"/>
              <w:lang w:val="en-US"/>
            </w:rPr>
            <w:t xml:space="preserve"> log in and update your profile at </w:t>
          </w:r>
          <w:hyperlink r:id="rId1" w:history="1">
            <w:r w:rsidRPr="00710A1C">
              <w:rPr>
                <w:rStyle w:val="Hyperlink"/>
                <w:rFonts w:cs="Arial"/>
                <w:b/>
                <w:bCs/>
                <w:color w:val="FFFFFF"/>
                <w:sz w:val="15"/>
                <w:szCs w:val="15"/>
                <w:lang w:val="en-US"/>
              </w:rPr>
              <w:t>www.ukmi.nhs.uk/ndo</w:t>
            </w:r>
          </w:hyperlink>
        </w:p>
      </w:tc>
    </w:tr>
    <w:tr w:rsidR="000D44DB" w14:paraId="1FFF03F8" w14:textId="77777777">
      <w:tc>
        <w:tcPr>
          <w:tcW w:w="10980" w:type="dxa"/>
          <w:shd w:val="clear" w:color="auto" w:fill="auto"/>
          <w:tcMar>
            <w:left w:w="28" w:type="dxa"/>
            <w:right w:w="28" w:type="dxa"/>
          </w:tcMar>
        </w:tcPr>
        <w:p w14:paraId="20560B5F" w14:textId="77777777" w:rsidR="000D44DB" w:rsidRPr="00710A1C" w:rsidRDefault="000D44DB" w:rsidP="00710A1C">
          <w:pPr>
            <w:spacing w:before="120" w:after="60"/>
            <w:ind w:left="57" w:right="57"/>
            <w:rPr>
              <w:sz w:val="15"/>
              <w:szCs w:val="15"/>
            </w:rPr>
          </w:pPr>
          <w:r w:rsidRPr="00710A1C">
            <w:rPr>
              <w:rFonts w:ascii="Verdana" w:hAnsi="Verdana" w:cs="Arial"/>
              <w:b/>
              <w:bCs/>
              <w:color w:val="333399"/>
              <w:sz w:val="15"/>
              <w:szCs w:val="15"/>
              <w:lang w:val="en-US"/>
            </w:rPr>
            <w:t>In September 2011</w:t>
          </w:r>
          <w:r w:rsidRPr="00710A1C">
            <w:rPr>
              <w:rFonts w:ascii="Verdana" w:hAnsi="Verdana" w:cs="Arial"/>
              <w:bCs/>
              <w:color w:val="000000"/>
              <w:sz w:val="15"/>
              <w:szCs w:val="15"/>
              <w:lang w:val="en-US"/>
            </w:rPr>
            <w:t xml:space="preserve"> </w:t>
          </w:r>
          <w:r w:rsidRPr="00710A1C">
            <w:rPr>
              <w:rFonts w:ascii="Verdana" w:hAnsi="Verdana" w:cs="Arial"/>
              <w:b/>
              <w:bCs/>
              <w:color w:val="000000"/>
              <w:sz w:val="15"/>
              <w:szCs w:val="15"/>
              <w:lang w:val="en-US"/>
            </w:rPr>
            <w:t>| 229 monographs updated | 14 evidence-based evaluations added | 2,200 registered NDO users</w:t>
          </w:r>
        </w:p>
      </w:tc>
    </w:tr>
  </w:tbl>
  <w:p w14:paraId="15480D60" w14:textId="77777777" w:rsidR="000D44DB" w:rsidRDefault="000D4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27A8C592" w14:textId="77777777" w:rsidTr="001734BF">
      <w:trPr>
        <w:trHeight w:val="262"/>
      </w:trPr>
      <w:tc>
        <w:tcPr>
          <w:tcW w:w="10774" w:type="dxa"/>
          <w:shd w:val="clear" w:color="auto" w:fill="0070C0"/>
          <w:tcMar>
            <w:top w:w="28" w:type="dxa"/>
            <w:left w:w="57" w:type="dxa"/>
            <w:bottom w:w="28" w:type="dxa"/>
            <w:right w:w="57" w:type="dxa"/>
          </w:tcMar>
        </w:tcPr>
        <w:p w14:paraId="12DC4752"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This is a NHS document not to be used for commercial purposes</w:t>
          </w:r>
        </w:p>
      </w:tc>
    </w:tr>
    <w:tr w:rsidR="001F4283" w:rsidRPr="00862949" w14:paraId="423EFDA1" w14:textId="77777777" w:rsidTr="001734BF">
      <w:trPr>
        <w:trHeight w:val="331"/>
      </w:trPr>
      <w:tc>
        <w:tcPr>
          <w:tcW w:w="10774" w:type="dxa"/>
          <w:shd w:val="clear" w:color="auto" w:fill="DAEEF3"/>
          <w:tcMar>
            <w:left w:w="28" w:type="dxa"/>
            <w:right w:w="28" w:type="dxa"/>
          </w:tcMar>
        </w:tcPr>
        <w:p w14:paraId="10B02F09"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organisations develop medicines management policies and to inform prescribing decisions when a product has been launched. </w:t>
          </w:r>
        </w:p>
        <w:p w14:paraId="52091A33"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0594E0EF" w14:textId="77777777" w:rsidR="000D44DB" w:rsidRDefault="000D4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227" w:type="dxa"/>
      <w:tblLook w:val="01E0" w:firstRow="1" w:lastRow="1" w:firstColumn="1" w:lastColumn="1" w:noHBand="0" w:noVBand="0"/>
    </w:tblPr>
    <w:tblGrid>
      <w:gridCol w:w="10774"/>
    </w:tblGrid>
    <w:tr w:rsidR="001F4283" w:rsidRPr="00862949" w14:paraId="4AEDA58E" w14:textId="77777777" w:rsidTr="001734BF">
      <w:trPr>
        <w:trHeight w:val="262"/>
      </w:trPr>
      <w:tc>
        <w:tcPr>
          <w:tcW w:w="10774" w:type="dxa"/>
          <w:shd w:val="clear" w:color="auto" w:fill="0070C0"/>
          <w:tcMar>
            <w:top w:w="28" w:type="dxa"/>
            <w:left w:w="57" w:type="dxa"/>
            <w:bottom w:w="28" w:type="dxa"/>
            <w:right w:w="57" w:type="dxa"/>
          </w:tcMar>
        </w:tcPr>
        <w:p w14:paraId="3913E2B9" w14:textId="77777777" w:rsidR="001F4283" w:rsidRPr="00114EBA" w:rsidRDefault="001F4283" w:rsidP="001F4283">
          <w:pPr>
            <w:spacing w:before="60" w:after="60"/>
            <w:ind w:right="57"/>
            <w:jc w:val="center"/>
            <w:rPr>
              <w:rFonts w:cs="Arial"/>
              <w:bCs/>
              <w:color w:val="F2F2F2"/>
              <w:sz w:val="17"/>
              <w:szCs w:val="17"/>
              <w:lang w:val="en-US"/>
            </w:rPr>
          </w:pPr>
          <w:r w:rsidRPr="00114EBA">
            <w:rPr>
              <w:rFonts w:cs="Arial"/>
              <w:b/>
              <w:bCs/>
              <w:color w:val="FFFFFF"/>
              <w:sz w:val="17"/>
              <w:szCs w:val="17"/>
              <w:lang w:val="en-US"/>
            </w:rPr>
            <w:t>This is a NHS document not to be used for commercial purposes</w:t>
          </w:r>
        </w:p>
      </w:tc>
    </w:tr>
    <w:tr w:rsidR="001F4283" w:rsidRPr="00862949" w14:paraId="6317A88E" w14:textId="77777777" w:rsidTr="001734BF">
      <w:trPr>
        <w:trHeight w:val="331"/>
      </w:trPr>
      <w:tc>
        <w:tcPr>
          <w:tcW w:w="10774" w:type="dxa"/>
          <w:shd w:val="clear" w:color="auto" w:fill="DAEEF3"/>
          <w:tcMar>
            <w:left w:w="28" w:type="dxa"/>
            <w:right w:w="28" w:type="dxa"/>
          </w:tcMar>
        </w:tcPr>
        <w:p w14:paraId="19F503F7" w14:textId="77777777" w:rsidR="001F4283" w:rsidRDefault="001F4283" w:rsidP="001F4283">
          <w:pPr>
            <w:spacing w:before="60" w:after="60"/>
            <w:ind w:right="57"/>
            <w:rPr>
              <w:rFonts w:cs="Arial"/>
              <w:bCs/>
              <w:color w:val="000000"/>
              <w:sz w:val="17"/>
              <w:szCs w:val="17"/>
              <w:lang w:val="en-US"/>
            </w:rPr>
          </w:pPr>
          <w:r w:rsidRPr="00114EBA">
            <w:rPr>
              <w:rFonts w:cs="Arial"/>
              <w:bCs/>
              <w:color w:val="00B050"/>
              <w:sz w:val="17"/>
              <w:szCs w:val="17"/>
              <w:lang w:val="en-US"/>
            </w:rPr>
            <w:t>New Medicines</w:t>
          </w:r>
          <w:r w:rsidRPr="00114EBA">
            <w:rPr>
              <w:rFonts w:cs="Arial"/>
              <w:bCs/>
              <w:color w:val="F2F2F2"/>
              <w:sz w:val="17"/>
              <w:szCs w:val="17"/>
              <w:lang w:val="en-US"/>
            </w:rPr>
            <w:t xml:space="preserve"> </w:t>
          </w:r>
          <w:r w:rsidRPr="00114EBA">
            <w:rPr>
              <w:rStyle w:val="Hyperlink"/>
              <w:rFonts w:ascii="Arial" w:hAnsi="Arial"/>
              <w:i/>
              <w:color w:val="0070C0"/>
              <w:sz w:val="17"/>
              <w:szCs w:val="17"/>
              <w:u w:val="none"/>
            </w:rPr>
            <w:t>News</w:t>
          </w:r>
          <w:r w:rsidRPr="00114EBA">
            <w:rPr>
              <w:rFonts w:cs="Arial"/>
              <w:bCs/>
              <w:color w:val="F2F2F2"/>
              <w:sz w:val="17"/>
              <w:szCs w:val="17"/>
              <w:lang w:val="en-US"/>
            </w:rPr>
            <w:t xml:space="preserve"> </w:t>
          </w:r>
          <w:r w:rsidRPr="00114EBA">
            <w:rPr>
              <w:rFonts w:cs="Arial"/>
              <w:bCs/>
              <w:color w:val="000000"/>
              <w:sz w:val="17"/>
              <w:szCs w:val="17"/>
              <w:lang w:val="en-US"/>
            </w:rPr>
            <w:t xml:space="preserve">is one of several horizon scanning resources produced by </w:t>
          </w:r>
          <w:r>
            <w:rPr>
              <w:rFonts w:cs="Arial"/>
              <w:bCs/>
              <w:color w:val="000000"/>
              <w:sz w:val="17"/>
              <w:szCs w:val="17"/>
              <w:lang w:val="en-US"/>
            </w:rPr>
            <w:t>the Specialist Pharmacy Service</w:t>
          </w:r>
          <w:r w:rsidRPr="00114EBA">
            <w:rPr>
              <w:rFonts w:cs="Arial"/>
              <w:bCs/>
              <w:color w:val="000000"/>
              <w:sz w:val="17"/>
              <w:szCs w:val="17"/>
              <w:lang w:val="en-US"/>
            </w:rPr>
            <w:t xml:space="preserve"> to support managed introduction of new medicines into the NHS,</w:t>
          </w:r>
          <w:r w:rsidRPr="00114EBA">
            <w:rPr>
              <w:color w:val="000000"/>
              <w:sz w:val="17"/>
              <w:szCs w:val="17"/>
            </w:rPr>
            <w:t xml:space="preserve"> </w:t>
          </w:r>
          <w:r w:rsidRPr="00114EBA">
            <w:rPr>
              <w:rFonts w:cs="Arial"/>
              <w:bCs/>
              <w:color w:val="000000"/>
              <w:sz w:val="17"/>
              <w:szCs w:val="17"/>
              <w:lang w:val="en-US"/>
            </w:rPr>
            <w:t xml:space="preserve">to help organisations develop medicines management policies and to inform prescribing decisions when a product has been launched. </w:t>
          </w:r>
        </w:p>
        <w:p w14:paraId="67A5EA3A" w14:textId="77777777" w:rsidR="001F4283" w:rsidRPr="00114EBA" w:rsidRDefault="001F4283" w:rsidP="001F4283">
          <w:pPr>
            <w:spacing w:before="60" w:after="60"/>
            <w:ind w:right="57"/>
            <w:jc w:val="right"/>
            <w:rPr>
              <w:rFonts w:cs="Arial"/>
              <w:bCs/>
              <w:color w:val="000000"/>
              <w:sz w:val="17"/>
              <w:szCs w:val="17"/>
              <w:lang w:val="en-US"/>
            </w:rPr>
          </w:pPr>
          <w:r w:rsidRPr="00114EBA">
            <w:rPr>
              <w:rFonts w:cs="Arial"/>
              <w:bCs/>
              <w:color w:val="000000"/>
              <w:sz w:val="17"/>
              <w:szCs w:val="17"/>
              <w:lang w:val="en-US"/>
            </w:rPr>
            <w:t>For more information</w:t>
          </w:r>
          <w:r>
            <w:rPr>
              <w:rFonts w:cs="Arial"/>
              <w:bCs/>
              <w:color w:val="000000"/>
              <w:sz w:val="17"/>
              <w:szCs w:val="17"/>
              <w:lang w:val="en-US"/>
            </w:rPr>
            <w:t xml:space="preserve"> or </w:t>
          </w:r>
          <w:r w:rsidRPr="00114EBA">
            <w:rPr>
              <w:rFonts w:cs="Arial"/>
              <w:bCs/>
              <w:color w:val="000000"/>
              <w:sz w:val="17"/>
              <w:szCs w:val="17"/>
              <w:lang w:val="en-US"/>
            </w:rPr>
            <w:t>if you have a question about this newsletter, contact</w:t>
          </w:r>
          <w:r>
            <w:rPr>
              <w:rFonts w:cs="Arial"/>
              <w:bCs/>
              <w:color w:val="000000"/>
              <w:sz w:val="17"/>
              <w:szCs w:val="17"/>
              <w:lang w:val="en-US"/>
            </w:rPr>
            <w:t xml:space="preserve"> </w:t>
          </w:r>
          <w:hyperlink r:id="rId1" w:history="1">
            <w:r w:rsidRPr="00114EBA">
              <w:rPr>
                <w:rStyle w:val="Hyperlink"/>
                <w:rFonts w:ascii="Arial" w:hAnsi="Arial" w:cs="Arial"/>
                <w:bCs/>
                <w:sz w:val="17"/>
                <w:szCs w:val="17"/>
                <w:lang w:val="en-US"/>
              </w:rPr>
              <w:t>nwmedinfo@nhs.net</w:t>
            </w:r>
          </w:hyperlink>
          <w:r w:rsidRPr="00114EBA">
            <w:rPr>
              <w:rFonts w:cs="Arial"/>
              <w:bCs/>
              <w:color w:val="000000"/>
              <w:sz w:val="17"/>
              <w:szCs w:val="17"/>
              <w:lang w:val="en-US"/>
            </w:rPr>
            <w:t>.</w:t>
          </w:r>
        </w:p>
      </w:tc>
    </w:tr>
  </w:tbl>
  <w:p w14:paraId="1DAA4899" w14:textId="77777777" w:rsidR="000D44DB" w:rsidRPr="00862949" w:rsidRDefault="000D44DB" w:rsidP="00F95449">
    <w:pPr>
      <w:spacing w:before="60" w:after="60"/>
      <w:ind w:left="57" w:right="57"/>
      <w:jc w:val="center"/>
      <w:rPr>
        <w:rFonts w:cs="Arial"/>
        <w:bCs/>
        <w:color w:val="333399"/>
        <w:sz w:val="8"/>
        <w:szCs w:val="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5E858" w14:textId="77777777" w:rsidR="00DB332B" w:rsidRDefault="00DB332B">
      <w:r>
        <w:separator/>
      </w:r>
    </w:p>
  </w:footnote>
  <w:footnote w:type="continuationSeparator" w:id="0">
    <w:p w14:paraId="6C851330" w14:textId="77777777" w:rsidR="00DB332B" w:rsidRDefault="00DB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9634" w14:textId="2DF26F0F" w:rsidR="000D44DB" w:rsidRPr="00CD021E" w:rsidRDefault="00CD021E" w:rsidP="009A09B7">
    <w:pPr>
      <w:pStyle w:val="Header"/>
      <w:rPr>
        <w:rFonts w:ascii="Verdana" w:hAnsi="Verdana" w:cs="Arial"/>
        <w:b/>
        <w:bCs/>
        <w:i/>
        <w:color w:val="33CCCC"/>
        <w:sz w:val="52"/>
        <w:szCs w:val="52"/>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7216" behindDoc="1" locked="0" layoutInCell="1" allowOverlap="1" wp14:anchorId="3675C404" wp14:editId="5EEDA03F">
          <wp:simplePos x="0" y="0"/>
          <wp:positionH relativeFrom="column">
            <wp:posOffset>5715000</wp:posOffset>
          </wp:positionH>
          <wp:positionV relativeFrom="paragraph">
            <wp:posOffset>10795</wp:posOffset>
          </wp:positionV>
          <wp:extent cx="816610" cy="463550"/>
          <wp:effectExtent l="0" t="0" r="2540" b="0"/>
          <wp:wrapTight wrapText="bothSides">
            <wp:wrapPolygon edited="0">
              <wp:start x="0" y="0"/>
              <wp:lineTo x="0" y="20416"/>
              <wp:lineTo x="21163" y="20416"/>
              <wp:lineTo x="21163" y="0"/>
              <wp:lineTo x="0" y="0"/>
            </wp:wrapPolygon>
          </wp:wrapTight>
          <wp:docPr id="18" name="Picture 18" descr="UKMi logo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Mi logo 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5D298613" wp14:editId="1D09640A">
          <wp:simplePos x="0" y="0"/>
          <wp:positionH relativeFrom="column">
            <wp:posOffset>5193665</wp:posOffset>
          </wp:positionH>
          <wp:positionV relativeFrom="paragraph">
            <wp:posOffset>116205</wp:posOffset>
          </wp:positionV>
          <wp:extent cx="533400" cy="219075"/>
          <wp:effectExtent l="0" t="0" r="0" b="9525"/>
          <wp:wrapTight wrapText="bothSides">
            <wp:wrapPolygon edited="0">
              <wp:start x="0" y="0"/>
              <wp:lineTo x="0" y="20661"/>
              <wp:lineTo x="20829" y="20661"/>
              <wp:lineTo x="20829" y="0"/>
              <wp:lineTo x="0" y="0"/>
            </wp:wrapPolygon>
          </wp:wrapTight>
          <wp:docPr id="19" name="Picture 19"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C4FA502" wp14:editId="6679FB3E">
          <wp:extent cx="1075055" cy="467995"/>
          <wp:effectExtent l="0" t="0" r="0" b="8255"/>
          <wp:docPr id="20" name="Picture 20" descr="ND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5055" cy="467995"/>
                  </a:xfrm>
                  <a:prstGeom prst="rect">
                    <a:avLst/>
                  </a:prstGeom>
                  <a:noFill/>
                  <a:ln>
                    <a:noFill/>
                  </a:ln>
                </pic:spPr>
              </pic:pic>
            </a:graphicData>
          </a:graphic>
        </wp:inline>
      </w:drawing>
    </w:r>
    <w:r w:rsidR="000D44DB" w:rsidRPr="00CD021E">
      <w:rPr>
        <w:rFonts w:ascii="Verdana" w:hAnsi="Verdana" w:cs="Arial"/>
        <w:b/>
        <w:bCs/>
        <w:i/>
        <w:color w:val="33CCCC"/>
        <w:sz w:val="44"/>
        <w:szCs w:val="44"/>
        <w14:shadow w14:blurRad="50800" w14:dist="38100" w14:dir="2700000" w14:sx="100000" w14:sy="100000" w14:kx="0" w14:ky="0" w14:algn="tl">
          <w14:srgbClr w14:val="000000">
            <w14:alpha w14:val="60000"/>
          </w14:srgbClr>
        </w14:shadow>
      </w:rPr>
      <w:t>Newsletter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B88A" w14:textId="489B6492" w:rsidR="000D44DB" w:rsidRPr="00CD021E" w:rsidRDefault="00A75BCB" w:rsidP="00BA65A9">
    <w:pPr>
      <w:pStyle w:val="Header"/>
      <w:ind w:left="-142"/>
      <w:rPr>
        <w:rFonts w:cs="Arial"/>
        <w:b/>
        <w:bCs/>
        <w:color w:val="244061"/>
        <w:sz w:val="32"/>
        <w:szCs w:val="32"/>
        <w14:shadow w14:blurRad="50800" w14:dist="38100" w14:dir="2700000" w14:sx="100000" w14:sy="100000" w14:kx="0" w14:ky="0" w14:algn="tl">
          <w14:srgbClr w14:val="000000">
            <w14:alpha w14:val="60000"/>
          </w14:srgbClr>
        </w14:shadow>
      </w:rPr>
    </w:pPr>
    <w:r>
      <w:rPr>
        <w:noProof/>
        <w:color w:val="00B050"/>
        <w:sz w:val="32"/>
        <w:szCs w:val="32"/>
      </w:rPr>
      <w:drawing>
        <wp:anchor distT="0" distB="0" distL="114300" distR="114300" simplePos="0" relativeHeight="251654144" behindDoc="0" locked="0" layoutInCell="1" allowOverlap="1" wp14:anchorId="70A8583B" wp14:editId="054DC00E">
          <wp:simplePos x="0" y="0"/>
          <wp:positionH relativeFrom="column">
            <wp:posOffset>6073775</wp:posOffset>
          </wp:positionH>
          <wp:positionV relativeFrom="paragraph">
            <wp:posOffset>-21590</wp:posOffset>
          </wp:positionV>
          <wp:extent cx="521335" cy="213995"/>
          <wp:effectExtent l="0" t="0" r="0" b="0"/>
          <wp:wrapNone/>
          <wp:docPr id="21" name="Picture 21"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90491E" w14:textId="77777777" w:rsidR="000D44DB" w:rsidRPr="00CD021E" w:rsidRDefault="00CD021E" w:rsidP="00C3217F">
    <w:pPr>
      <w:pStyle w:val="Header"/>
      <w:tabs>
        <w:tab w:val="clear" w:pos="8306"/>
        <w:tab w:val="left" w:pos="7830"/>
      </w:tabs>
      <w:ind w:left="-255" w:hanging="142"/>
      <w:rPr>
        <w:rFonts w:cs="Arial"/>
        <w:b/>
        <w:bCs/>
        <w:i/>
        <w:color w:val="244061"/>
        <w:sz w:val="72"/>
        <w:szCs w:val="72"/>
        <w14:shadow w14:blurRad="50800" w14:dist="38100" w14:dir="2700000" w14:sx="100000" w14:sy="100000" w14:kx="0" w14:ky="0" w14:algn="tl">
          <w14:srgbClr w14:val="000000">
            <w14:alpha w14:val="60000"/>
          </w14:srgbClr>
        </w14:shadow>
      </w:rPr>
    </w:pPr>
    <w:r>
      <w:rPr>
        <w:rFonts w:cs="Arial"/>
        <w:b/>
        <w:bCs/>
        <w:noProof/>
        <w:color w:val="00B050"/>
        <w:sz w:val="72"/>
        <w:szCs w:val="72"/>
      </w:rPr>
      <w:drawing>
        <wp:anchor distT="0" distB="0" distL="114300" distR="114300" simplePos="0" relativeHeight="251661312" behindDoc="1" locked="0" layoutInCell="1" allowOverlap="1" wp14:anchorId="72A1C177" wp14:editId="4287E180">
          <wp:simplePos x="0" y="0"/>
          <wp:positionH relativeFrom="column">
            <wp:posOffset>-360045</wp:posOffset>
          </wp:positionH>
          <wp:positionV relativeFrom="paragraph">
            <wp:posOffset>34925</wp:posOffset>
          </wp:positionV>
          <wp:extent cx="1051560" cy="448945"/>
          <wp:effectExtent l="0" t="0" r="0" b="8255"/>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44894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r>
    <w:r w:rsidR="000D44DB" w:rsidRPr="00CD021E">
      <w:rPr>
        <w:rFonts w:cs="Arial"/>
        <w:b/>
        <w:bCs/>
        <w:color w:val="00B050"/>
        <w:sz w:val="72"/>
        <w:szCs w:val="72"/>
        <w14:shadow w14:blurRad="50800" w14:dist="38100" w14:dir="2700000" w14:sx="100000" w14:sy="100000" w14:kx="0" w14:ky="0" w14:algn="tl">
          <w14:srgbClr w14:val="000000">
            <w14:alpha w14:val="60000"/>
          </w14:srgbClr>
        </w14:shadow>
      </w:rPr>
      <w:tab/>
      <w:t xml:space="preserve">      New Medicines</w:t>
    </w:r>
    <w:r w:rsidR="000D44DB" w:rsidRPr="00CD021E">
      <w:rPr>
        <w:rFonts w:cs="Arial"/>
        <w:b/>
        <w:bCs/>
        <w:i/>
        <w:color w:val="244061"/>
        <w:sz w:val="72"/>
        <w:szCs w:val="72"/>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72"/>
        <w:szCs w:val="72"/>
        <w14:shadow w14:blurRad="50800" w14:dist="38100" w14:dir="2700000" w14:sx="100000" w14:sy="100000" w14:kx="0" w14:ky="0" w14:algn="tl">
          <w14:srgbClr w14:val="000000">
            <w14:alpha w14:val="60000"/>
          </w14:srgbClr>
        </w14:shadow>
      </w:rPr>
      <w:t>News</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0D44DB" w:rsidRPr="00CD021E" w14:paraId="76EDAABA" w14:textId="77777777" w:rsidTr="002772ED">
      <w:tc>
        <w:tcPr>
          <w:tcW w:w="10774" w:type="dxa"/>
          <w:tcBorders>
            <w:top w:val="nil"/>
            <w:left w:val="nil"/>
            <w:bottom w:val="nil"/>
            <w:right w:val="nil"/>
          </w:tcBorders>
          <w:shd w:val="clear" w:color="auto" w:fill="DAEEF3"/>
        </w:tcPr>
        <w:p w14:paraId="1951EC94" w14:textId="7BE5BD00" w:rsidR="000D44DB" w:rsidRPr="00CD021E" w:rsidRDefault="00DB332B" w:rsidP="00EB3E6F">
          <w:pPr>
            <w:pStyle w:val="Header"/>
            <w:spacing w:before="60" w:after="60"/>
            <w:rPr>
              <w:rFonts w:cs="Arial"/>
              <w:b/>
              <w:bCs/>
              <w:color w:val="000000"/>
              <w:sz w:val="36"/>
              <w:szCs w:val="36"/>
              <w14:shadow w14:blurRad="50800" w14:dist="38100" w14:dir="2700000" w14:sx="100000" w14:sy="100000" w14:kx="0" w14:ky="0" w14:algn="tl">
                <w14:srgbClr w14:val="000000">
                  <w14:alpha w14:val="60000"/>
                </w14:srgbClr>
              </w14:shadow>
            </w:rPr>
          </w:pPr>
          <w:r>
            <w:rPr>
              <w:rFonts w:cs="Arial"/>
              <w:b/>
              <w:bCs/>
              <w:color w:val="0070C0"/>
              <w:sz w:val="36"/>
              <w:szCs w:val="36"/>
              <w14:shadow w14:blurRad="50800" w14:dist="38100" w14:dir="2700000" w14:sx="100000" w14:sy="100000" w14:kx="0" w14:ky="0" w14:algn="tl">
                <w14:srgbClr w14:val="000000">
                  <w14:alpha w14:val="60000"/>
                </w14:srgbClr>
              </w14:shadow>
            </w:rPr>
            <w:t>May</w:t>
          </w:r>
          <w:r w:rsidR="00A75BCB">
            <w:rPr>
              <w:rFonts w:cs="Arial"/>
              <w:b/>
              <w:bCs/>
              <w:color w:val="0070C0"/>
              <w:sz w:val="36"/>
              <w:szCs w:val="36"/>
              <w14:shadow w14:blurRad="50800" w14:dist="38100" w14:dir="2700000" w14:sx="100000" w14:sy="100000" w14:kx="0" w14:ky="0" w14:algn="tl">
                <w14:srgbClr w14:val="000000">
                  <w14:alpha w14:val="60000"/>
                </w14:srgbClr>
              </w14:shadow>
            </w:rPr>
            <w:t xml:space="preserve"> 202</w:t>
          </w:r>
          <w:r w:rsidR="001D7529">
            <w:rPr>
              <w:rFonts w:cs="Arial"/>
              <w:b/>
              <w:bCs/>
              <w:color w:val="0070C0"/>
              <w:sz w:val="36"/>
              <w:szCs w:val="36"/>
              <w14:shadow w14:blurRad="50800" w14:dist="38100" w14:dir="2700000" w14:sx="100000" w14:sy="100000" w14:kx="0" w14:ky="0" w14:algn="tl">
                <w14:srgbClr w14:val="000000">
                  <w14:alpha w14:val="60000"/>
                </w14:srgbClr>
              </w14:shadow>
            </w:rPr>
            <w:t>4</w:t>
          </w:r>
        </w:p>
      </w:tc>
    </w:tr>
    <w:tr w:rsidR="000D44DB" w:rsidRPr="00CD021E" w14:paraId="34403D06" w14:textId="77777777" w:rsidTr="002772ED">
      <w:tc>
        <w:tcPr>
          <w:tcW w:w="10774" w:type="dxa"/>
          <w:tcBorders>
            <w:top w:val="nil"/>
            <w:left w:val="nil"/>
            <w:bottom w:val="nil"/>
            <w:right w:val="nil"/>
          </w:tcBorders>
          <w:shd w:val="clear" w:color="auto" w:fill="0070C0"/>
        </w:tcPr>
        <w:p w14:paraId="16BB8DEB" w14:textId="77777777" w:rsidR="000D44DB" w:rsidRPr="00CD021E" w:rsidRDefault="000D44DB" w:rsidP="00395D20">
          <w:pPr>
            <w:pStyle w:val="Header"/>
            <w:tabs>
              <w:tab w:val="clear" w:pos="4153"/>
              <w:tab w:val="clear" w:pos="8306"/>
              <w:tab w:val="left" w:pos="2197"/>
            </w:tabs>
            <w:rPr>
              <w:rFonts w:cs="Arial"/>
              <w:b/>
              <w:bCs/>
              <w:color w:val="0070C0"/>
              <w:sz w:val="8"/>
              <w:szCs w:val="8"/>
              <w14:shadow w14:blurRad="50800" w14:dist="38100" w14:dir="2700000" w14:sx="100000" w14:sy="100000" w14:kx="0" w14:ky="0" w14:algn="tl">
                <w14:srgbClr w14:val="000000">
                  <w14:alpha w14:val="60000"/>
                </w14:srgbClr>
              </w14:shadow>
            </w:rPr>
          </w:pPr>
          <w:r w:rsidRPr="00CD021E">
            <w:rPr>
              <w:rFonts w:cs="Arial"/>
              <w:b/>
              <w:bCs/>
              <w:color w:val="0070C0"/>
              <w:sz w:val="28"/>
              <w:szCs w:val="28"/>
              <w14:shadow w14:blurRad="50800" w14:dist="38100" w14:dir="2700000" w14:sx="100000" w14:sy="100000" w14:kx="0" w14:ky="0" w14:algn="tl">
                <w14:srgbClr w14:val="000000">
                  <w14:alpha w14:val="60000"/>
                </w14:srgbClr>
              </w14:shadow>
            </w:rPr>
            <w:tab/>
          </w:r>
        </w:p>
      </w:tc>
    </w:tr>
    <w:tr w:rsidR="000D44DB" w:rsidRPr="00CD021E" w14:paraId="6EF9E283" w14:textId="77777777" w:rsidTr="002772ED">
      <w:tc>
        <w:tcPr>
          <w:tcW w:w="10774" w:type="dxa"/>
          <w:tcBorders>
            <w:top w:val="nil"/>
            <w:left w:val="nil"/>
            <w:bottom w:val="nil"/>
            <w:right w:val="nil"/>
          </w:tcBorders>
          <w:shd w:val="clear" w:color="auto" w:fill="DAEEF3"/>
        </w:tcPr>
        <w:p w14:paraId="1F71E20D" w14:textId="77777777" w:rsidR="000D44DB" w:rsidRPr="00C315D6" w:rsidRDefault="00885CAE" w:rsidP="00CB6344">
          <w:pPr>
            <w:pStyle w:val="Header"/>
            <w:tabs>
              <w:tab w:val="clear" w:pos="4153"/>
              <w:tab w:val="clear" w:pos="8306"/>
              <w:tab w:val="left" w:pos="2197"/>
            </w:tabs>
            <w:spacing w:before="120" w:after="120"/>
            <w:rPr>
              <w:rFonts w:cs="Arial"/>
              <w:b/>
              <w:bCs/>
              <w:color w:val="0070C0"/>
              <w:sz w:val="18"/>
              <w:szCs w:val="18"/>
            </w:rPr>
          </w:pPr>
          <w:r w:rsidRPr="009B0BCE">
            <w:rPr>
              <w:rFonts w:cs="Arial"/>
              <w:b/>
              <w:bCs/>
              <w:color w:val="0070C0"/>
              <w:sz w:val="18"/>
              <w:szCs w:val="18"/>
            </w:rPr>
            <w:t xml:space="preserve">This newsletter is produced by </w:t>
          </w:r>
          <w:hyperlink r:id="rId3" w:history="1">
            <w:r w:rsidRPr="00551321">
              <w:rPr>
                <w:rStyle w:val="Hyperlink"/>
                <w:rFonts w:ascii="Arial" w:hAnsi="Arial" w:cs="Arial"/>
                <w:b/>
                <w:bCs/>
              </w:rPr>
              <w:t xml:space="preserve">SPS </w:t>
            </w:r>
            <w:r w:rsidR="003C4624">
              <w:rPr>
                <w:rStyle w:val="Hyperlink"/>
                <w:rFonts w:ascii="Arial" w:hAnsi="Arial" w:cs="Arial"/>
                <w:b/>
                <w:bCs/>
              </w:rPr>
              <w:t>H</w:t>
            </w:r>
            <w:r w:rsidRPr="00551321">
              <w:rPr>
                <w:rStyle w:val="Hyperlink"/>
                <w:rFonts w:ascii="Arial" w:hAnsi="Arial" w:cs="Arial"/>
                <w:b/>
                <w:bCs/>
              </w:rPr>
              <w:t xml:space="preserve">orizon </w:t>
            </w:r>
            <w:r w:rsidR="003C4624">
              <w:rPr>
                <w:rStyle w:val="Hyperlink"/>
                <w:rFonts w:ascii="Arial" w:hAnsi="Arial" w:cs="Arial"/>
                <w:b/>
                <w:bCs/>
              </w:rPr>
              <w:t>S</w:t>
            </w:r>
            <w:r w:rsidRPr="00551321">
              <w:rPr>
                <w:rStyle w:val="Hyperlink"/>
                <w:rFonts w:ascii="Arial" w:hAnsi="Arial" w:cs="Arial"/>
                <w:b/>
                <w:bCs/>
              </w:rPr>
              <w:t>canning</w:t>
            </w:r>
          </w:hyperlink>
          <w:r w:rsidRPr="009B0BCE">
            <w:rPr>
              <w:rFonts w:cs="Arial"/>
              <w:b/>
              <w:bCs/>
              <w:color w:val="0070C0"/>
              <w:sz w:val="18"/>
              <w:szCs w:val="18"/>
            </w:rPr>
            <w:t xml:space="preserve"> and highlights recent</w:t>
          </w:r>
          <w:r>
            <w:rPr>
              <w:rFonts w:cs="Arial"/>
              <w:b/>
              <w:bCs/>
              <w:color w:val="0070C0"/>
              <w:sz w:val="18"/>
              <w:szCs w:val="18"/>
            </w:rPr>
            <w:t xml:space="preserve"> new product launches and </w:t>
          </w:r>
          <w:r w:rsidRPr="009B0BCE">
            <w:rPr>
              <w:rFonts w:cs="Arial"/>
              <w:b/>
              <w:bCs/>
              <w:color w:val="0070C0"/>
              <w:sz w:val="18"/>
              <w:szCs w:val="18"/>
            </w:rPr>
            <w:t xml:space="preserve">medicines regulatory changes. More detailed information on medicines </w:t>
          </w:r>
          <w:r>
            <w:rPr>
              <w:rFonts w:cs="Arial"/>
              <w:b/>
              <w:bCs/>
              <w:color w:val="0070C0"/>
              <w:sz w:val="18"/>
              <w:szCs w:val="18"/>
            </w:rPr>
            <w:t>estimated</w:t>
          </w:r>
          <w:r w:rsidRPr="009B0BCE">
            <w:rPr>
              <w:rFonts w:cs="Arial"/>
              <w:b/>
              <w:bCs/>
              <w:color w:val="0070C0"/>
              <w:sz w:val="18"/>
              <w:szCs w:val="18"/>
            </w:rPr>
            <w:t xml:space="preserve"> to </w:t>
          </w:r>
          <w:r>
            <w:rPr>
              <w:rFonts w:cs="Arial"/>
              <w:b/>
              <w:bCs/>
              <w:color w:val="0070C0"/>
              <w:sz w:val="18"/>
              <w:szCs w:val="18"/>
            </w:rPr>
            <w:t>become available for use</w:t>
          </w:r>
          <w:r w:rsidRPr="009B0BCE">
            <w:rPr>
              <w:rFonts w:cs="Arial"/>
              <w:b/>
              <w:bCs/>
              <w:color w:val="0070C0"/>
              <w:sz w:val="18"/>
              <w:szCs w:val="18"/>
            </w:rPr>
            <w:t xml:space="preserve"> in the next 2</w:t>
          </w:r>
          <w:r>
            <w:rPr>
              <w:rFonts w:cs="Arial"/>
              <w:b/>
              <w:bCs/>
              <w:color w:val="0070C0"/>
              <w:sz w:val="18"/>
              <w:szCs w:val="18"/>
            </w:rPr>
            <w:t xml:space="preserve"> financial years</w:t>
          </w:r>
          <w:r w:rsidRPr="009B0BCE">
            <w:rPr>
              <w:rFonts w:cs="Arial"/>
              <w:b/>
              <w:bCs/>
              <w:color w:val="0070C0"/>
              <w:sz w:val="18"/>
              <w:szCs w:val="18"/>
            </w:rPr>
            <w:t xml:space="preserve"> and on marketed medicines expected to have major new indications approved</w:t>
          </w:r>
          <w:r>
            <w:rPr>
              <w:rFonts w:cs="Arial"/>
              <w:b/>
              <w:bCs/>
              <w:color w:val="0070C0"/>
              <w:sz w:val="18"/>
              <w:szCs w:val="18"/>
            </w:rPr>
            <w:t xml:space="preserve"> is</w:t>
          </w:r>
          <w:r w:rsidRPr="009B0BCE">
            <w:rPr>
              <w:rFonts w:cs="Arial"/>
              <w:b/>
              <w:bCs/>
              <w:color w:val="0070C0"/>
              <w:sz w:val="18"/>
              <w:szCs w:val="18"/>
            </w:rPr>
            <w:t xml:space="preserve"> in </w:t>
          </w:r>
          <w:hyperlink r:id="rId4" w:history="1">
            <w:r w:rsidRPr="009B0BCE">
              <w:rPr>
                <w:rStyle w:val="Hyperlink"/>
                <w:rFonts w:ascii="Arial" w:hAnsi="Arial" w:cs="Arial"/>
                <w:b/>
                <w:bCs/>
              </w:rPr>
              <w:t>Prescribing Outlook</w:t>
            </w:r>
          </w:hyperlink>
          <w:r w:rsidRPr="009B0BCE">
            <w:rPr>
              <w:rFonts w:cs="Arial"/>
              <w:b/>
              <w:bCs/>
              <w:color w:val="0070C0"/>
              <w:sz w:val="18"/>
              <w:szCs w:val="18"/>
            </w:rPr>
            <w:t>.</w:t>
          </w:r>
        </w:p>
      </w:tc>
    </w:tr>
  </w:tbl>
  <w:p w14:paraId="0373BAF9" w14:textId="77777777" w:rsidR="000D44DB" w:rsidRPr="00CD021E" w:rsidRDefault="000D44DB" w:rsidP="00A56726">
    <w:pPr>
      <w:pStyle w:val="Header"/>
      <w:rPr>
        <w:rFonts w:cs="Arial"/>
        <w:b/>
        <w:bCs/>
        <w:color w:val="244061"/>
        <w:sz w:val="8"/>
        <w:szCs w:val="8"/>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D154" w14:textId="68BCCC31" w:rsidR="0090527B" w:rsidRDefault="009052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C678" w14:textId="75B09A3C" w:rsidR="0090527B" w:rsidRDefault="009052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7681" w14:textId="1319E42A" w:rsidR="000D44DB" w:rsidRPr="00CD021E" w:rsidRDefault="00A75BCB" w:rsidP="00AC0996">
    <w:pPr>
      <w:pStyle w:val="Header"/>
      <w:tabs>
        <w:tab w:val="clear" w:pos="8306"/>
        <w:tab w:val="left" w:pos="7830"/>
      </w:tabs>
      <w:spacing w:before="120"/>
      <w:ind w:left="-170"/>
      <w:rPr>
        <w:rFonts w:cs="Arial"/>
        <w:b/>
        <w:bCs/>
        <w:i/>
        <w:color w:val="31849B"/>
        <w:sz w:val="44"/>
        <w:szCs w:val="44"/>
        <w14:shadow w14:blurRad="50800" w14:dist="38100" w14:dir="2700000" w14:sx="100000" w14:sy="100000" w14:kx="0" w14:ky="0" w14:algn="tl">
          <w14:srgbClr w14:val="000000">
            <w14:alpha w14:val="60000"/>
          </w14:srgbClr>
        </w14:shadow>
      </w:rPr>
    </w:pPr>
    <w:r>
      <w:rPr>
        <w:rFonts w:cs="Arial"/>
        <w:noProof/>
        <w:color w:val="00A249"/>
        <w:sz w:val="40"/>
        <w:szCs w:val="40"/>
      </w:rPr>
      <w:drawing>
        <wp:anchor distT="0" distB="0" distL="114300" distR="114300" simplePos="0" relativeHeight="251658240" behindDoc="0" locked="0" layoutInCell="1" allowOverlap="1" wp14:anchorId="62A04BD5" wp14:editId="3A8A1321">
          <wp:simplePos x="0" y="0"/>
          <wp:positionH relativeFrom="column">
            <wp:posOffset>6182360</wp:posOffset>
          </wp:positionH>
          <wp:positionV relativeFrom="paragraph">
            <wp:posOffset>93345</wp:posOffset>
          </wp:positionV>
          <wp:extent cx="469265" cy="192405"/>
          <wp:effectExtent l="0" t="0" r="6985" b="0"/>
          <wp:wrapNone/>
          <wp:docPr id="8" name="Picture 8" descr="NH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S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19240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21E">
      <w:rPr>
        <w:noProof/>
      </w:rPr>
      <w:drawing>
        <wp:anchor distT="0" distB="0" distL="114300" distR="114300" simplePos="0" relativeHeight="251660288" behindDoc="0" locked="0" layoutInCell="1" allowOverlap="1" wp14:anchorId="27D38516" wp14:editId="78A5690B">
          <wp:simplePos x="0" y="0"/>
          <wp:positionH relativeFrom="column">
            <wp:posOffset>-286385</wp:posOffset>
          </wp:positionH>
          <wp:positionV relativeFrom="paragraph">
            <wp:posOffset>8890</wp:posOffset>
          </wp:positionV>
          <wp:extent cx="940435" cy="401955"/>
          <wp:effectExtent l="0" t="0" r="0" b="0"/>
          <wp:wrapSquare wrapText="bothSides"/>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435" cy="401955"/>
                  </a:xfrm>
                  <a:prstGeom prst="rect">
                    <a:avLst/>
                  </a:prstGeom>
                  <a:noFill/>
                </pic:spPr>
              </pic:pic>
            </a:graphicData>
          </a:graphic>
          <wp14:sizeRelH relativeFrom="page">
            <wp14:pctWidth>0</wp14:pctWidth>
          </wp14:sizeRelH>
          <wp14:sizeRelV relativeFrom="page">
            <wp14:pctHeight>0</wp14:pctHeight>
          </wp14:sizeRelV>
        </wp:anchor>
      </w:drawing>
    </w:r>
    <w:r w:rsidR="000D44DB" w:rsidRPr="00CD021E">
      <w:rPr>
        <w:rFonts w:cs="Arial"/>
        <w:b/>
        <w:bCs/>
        <w:color w:val="00A249"/>
        <w:sz w:val="44"/>
        <w:szCs w:val="44"/>
        <w14:shadow w14:blurRad="50800" w14:dist="38100" w14:dir="2700000" w14:sx="100000" w14:sy="100000" w14:kx="0" w14:ky="0" w14:algn="tl">
          <w14:srgbClr w14:val="000000">
            <w14:alpha w14:val="60000"/>
          </w14:srgbClr>
        </w14:shadow>
      </w:rPr>
      <w:t>New Medicines</w:t>
    </w:r>
    <w:r w:rsidR="000D44DB" w:rsidRPr="00CD021E">
      <w:rPr>
        <w:rFonts w:cs="Arial"/>
        <w:b/>
        <w:bCs/>
        <w:i/>
        <w:color w:val="244061"/>
        <w:sz w:val="44"/>
        <w:szCs w:val="44"/>
        <w14:shadow w14:blurRad="50800" w14:dist="38100" w14:dir="2700000" w14:sx="100000" w14:sy="100000" w14:kx="0" w14:ky="0" w14:algn="tl">
          <w14:srgbClr w14:val="000000">
            <w14:alpha w14:val="60000"/>
          </w14:srgbClr>
        </w14:shadow>
      </w:rPr>
      <w:t xml:space="preserve"> </w:t>
    </w:r>
    <w:r w:rsidR="000D44DB" w:rsidRPr="00CD021E">
      <w:rPr>
        <w:rFonts w:cs="Arial"/>
        <w:b/>
        <w:bCs/>
        <w:i/>
        <w:color w:val="0070C0"/>
        <w:sz w:val="44"/>
        <w:szCs w:val="44"/>
        <w14:shadow w14:blurRad="50800" w14:dist="38100" w14:dir="2700000" w14:sx="100000" w14:sy="100000" w14:kx="0" w14:ky="0" w14:algn="tl">
          <w14:srgbClr w14:val="000000">
            <w14:alpha w14:val="60000"/>
          </w14:srgbClr>
        </w14:shadow>
      </w:rPr>
      <w:t>News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9EF8" w14:textId="0C6E11E1" w:rsidR="0090527B" w:rsidRDefault="00905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E6EF9"/>
    <w:multiLevelType w:val="multilevel"/>
    <w:tmpl w:val="29F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055FA1"/>
    <w:multiLevelType w:val="hybridMultilevel"/>
    <w:tmpl w:val="BCF48EAE"/>
    <w:lvl w:ilvl="0" w:tplc="1AB04B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104711">
    <w:abstractNumId w:val="1"/>
  </w:num>
  <w:num w:numId="2" w16cid:durableId="42692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2B"/>
    <w:rsid w:val="0000035C"/>
    <w:rsid w:val="000005B6"/>
    <w:rsid w:val="000005EF"/>
    <w:rsid w:val="00000A0A"/>
    <w:rsid w:val="00000BE4"/>
    <w:rsid w:val="00000F87"/>
    <w:rsid w:val="0000199C"/>
    <w:rsid w:val="00001F19"/>
    <w:rsid w:val="0000290B"/>
    <w:rsid w:val="00002A08"/>
    <w:rsid w:val="00003329"/>
    <w:rsid w:val="00003421"/>
    <w:rsid w:val="000034B3"/>
    <w:rsid w:val="00003C95"/>
    <w:rsid w:val="00003D95"/>
    <w:rsid w:val="000042E9"/>
    <w:rsid w:val="00005014"/>
    <w:rsid w:val="00005119"/>
    <w:rsid w:val="00005271"/>
    <w:rsid w:val="000052F0"/>
    <w:rsid w:val="00005673"/>
    <w:rsid w:val="00005703"/>
    <w:rsid w:val="000057D2"/>
    <w:rsid w:val="00005CE9"/>
    <w:rsid w:val="00006527"/>
    <w:rsid w:val="000065F4"/>
    <w:rsid w:val="000072EC"/>
    <w:rsid w:val="0000751E"/>
    <w:rsid w:val="000075ED"/>
    <w:rsid w:val="0000769C"/>
    <w:rsid w:val="000102A1"/>
    <w:rsid w:val="000102E8"/>
    <w:rsid w:val="00010447"/>
    <w:rsid w:val="0001067C"/>
    <w:rsid w:val="00010B1D"/>
    <w:rsid w:val="00011176"/>
    <w:rsid w:val="000111C5"/>
    <w:rsid w:val="000114B1"/>
    <w:rsid w:val="00011D4B"/>
    <w:rsid w:val="00011E5B"/>
    <w:rsid w:val="00012B74"/>
    <w:rsid w:val="00012BA7"/>
    <w:rsid w:val="00012DCA"/>
    <w:rsid w:val="00012E19"/>
    <w:rsid w:val="00012E28"/>
    <w:rsid w:val="000132A0"/>
    <w:rsid w:val="00013575"/>
    <w:rsid w:val="000135BF"/>
    <w:rsid w:val="00013853"/>
    <w:rsid w:val="00013B16"/>
    <w:rsid w:val="00013CD9"/>
    <w:rsid w:val="00013E21"/>
    <w:rsid w:val="00014028"/>
    <w:rsid w:val="00014115"/>
    <w:rsid w:val="00014240"/>
    <w:rsid w:val="0001441B"/>
    <w:rsid w:val="00014631"/>
    <w:rsid w:val="00014657"/>
    <w:rsid w:val="000148ED"/>
    <w:rsid w:val="00014AFE"/>
    <w:rsid w:val="00015455"/>
    <w:rsid w:val="000158C2"/>
    <w:rsid w:val="00015915"/>
    <w:rsid w:val="000159C6"/>
    <w:rsid w:val="00015A48"/>
    <w:rsid w:val="00015B43"/>
    <w:rsid w:val="000165BE"/>
    <w:rsid w:val="000166D7"/>
    <w:rsid w:val="0001694F"/>
    <w:rsid w:val="00016C87"/>
    <w:rsid w:val="00016CDC"/>
    <w:rsid w:val="00016E17"/>
    <w:rsid w:val="000171BC"/>
    <w:rsid w:val="000173BA"/>
    <w:rsid w:val="0001791D"/>
    <w:rsid w:val="00017CA2"/>
    <w:rsid w:val="00017D66"/>
    <w:rsid w:val="00020261"/>
    <w:rsid w:val="000202B3"/>
    <w:rsid w:val="000202FE"/>
    <w:rsid w:val="000203F6"/>
    <w:rsid w:val="000207FB"/>
    <w:rsid w:val="00020D00"/>
    <w:rsid w:val="0002143C"/>
    <w:rsid w:val="0002181A"/>
    <w:rsid w:val="000225BB"/>
    <w:rsid w:val="000225EE"/>
    <w:rsid w:val="0002265E"/>
    <w:rsid w:val="0002269F"/>
    <w:rsid w:val="00022775"/>
    <w:rsid w:val="0002291B"/>
    <w:rsid w:val="000229C8"/>
    <w:rsid w:val="00022CCE"/>
    <w:rsid w:val="00022FB9"/>
    <w:rsid w:val="0002372C"/>
    <w:rsid w:val="00023B87"/>
    <w:rsid w:val="00023E2E"/>
    <w:rsid w:val="00023FBB"/>
    <w:rsid w:val="00025142"/>
    <w:rsid w:val="00025A1E"/>
    <w:rsid w:val="00025AD9"/>
    <w:rsid w:val="00025B8F"/>
    <w:rsid w:val="00026E35"/>
    <w:rsid w:val="00026FAE"/>
    <w:rsid w:val="0002715B"/>
    <w:rsid w:val="00027AC3"/>
    <w:rsid w:val="00027B21"/>
    <w:rsid w:val="00027C1C"/>
    <w:rsid w:val="00027D1D"/>
    <w:rsid w:val="00027E7C"/>
    <w:rsid w:val="00030002"/>
    <w:rsid w:val="0003000F"/>
    <w:rsid w:val="000305BA"/>
    <w:rsid w:val="00030663"/>
    <w:rsid w:val="0003082E"/>
    <w:rsid w:val="0003092A"/>
    <w:rsid w:val="00030ADE"/>
    <w:rsid w:val="00030B98"/>
    <w:rsid w:val="00030E87"/>
    <w:rsid w:val="00031218"/>
    <w:rsid w:val="00031336"/>
    <w:rsid w:val="00031909"/>
    <w:rsid w:val="00031E46"/>
    <w:rsid w:val="000320DC"/>
    <w:rsid w:val="000322AB"/>
    <w:rsid w:val="000327BA"/>
    <w:rsid w:val="00032BD9"/>
    <w:rsid w:val="0003313C"/>
    <w:rsid w:val="00033349"/>
    <w:rsid w:val="0003344C"/>
    <w:rsid w:val="000341CF"/>
    <w:rsid w:val="0003447E"/>
    <w:rsid w:val="0003499B"/>
    <w:rsid w:val="00034BCE"/>
    <w:rsid w:val="00034E8C"/>
    <w:rsid w:val="00035436"/>
    <w:rsid w:val="0003552B"/>
    <w:rsid w:val="00035B23"/>
    <w:rsid w:val="00035CA7"/>
    <w:rsid w:val="00035D82"/>
    <w:rsid w:val="00035DBD"/>
    <w:rsid w:val="00036A16"/>
    <w:rsid w:val="000373F3"/>
    <w:rsid w:val="0003742D"/>
    <w:rsid w:val="000374FF"/>
    <w:rsid w:val="000375C8"/>
    <w:rsid w:val="000378F6"/>
    <w:rsid w:val="000379EB"/>
    <w:rsid w:val="00037AE9"/>
    <w:rsid w:val="00037BAB"/>
    <w:rsid w:val="00037BE4"/>
    <w:rsid w:val="00040013"/>
    <w:rsid w:val="0004019A"/>
    <w:rsid w:val="000401A1"/>
    <w:rsid w:val="00040734"/>
    <w:rsid w:val="00040B83"/>
    <w:rsid w:val="00040CA3"/>
    <w:rsid w:val="000416FC"/>
    <w:rsid w:val="00041AC8"/>
    <w:rsid w:val="00041BDC"/>
    <w:rsid w:val="0004243E"/>
    <w:rsid w:val="000427D5"/>
    <w:rsid w:val="00042CCD"/>
    <w:rsid w:val="00043342"/>
    <w:rsid w:val="000435DE"/>
    <w:rsid w:val="00043A2D"/>
    <w:rsid w:val="00043ED2"/>
    <w:rsid w:val="00044148"/>
    <w:rsid w:val="00044204"/>
    <w:rsid w:val="00044475"/>
    <w:rsid w:val="00044C33"/>
    <w:rsid w:val="000452E2"/>
    <w:rsid w:val="00045745"/>
    <w:rsid w:val="0004575D"/>
    <w:rsid w:val="000457B4"/>
    <w:rsid w:val="00045D5B"/>
    <w:rsid w:val="00045DDF"/>
    <w:rsid w:val="0004601F"/>
    <w:rsid w:val="00046375"/>
    <w:rsid w:val="000464B6"/>
    <w:rsid w:val="00046777"/>
    <w:rsid w:val="00046C42"/>
    <w:rsid w:val="00046CCE"/>
    <w:rsid w:val="0004702B"/>
    <w:rsid w:val="0004733A"/>
    <w:rsid w:val="00047608"/>
    <w:rsid w:val="00050249"/>
    <w:rsid w:val="000507C3"/>
    <w:rsid w:val="00050920"/>
    <w:rsid w:val="0005105D"/>
    <w:rsid w:val="000515F0"/>
    <w:rsid w:val="00051791"/>
    <w:rsid w:val="000518A6"/>
    <w:rsid w:val="000519EA"/>
    <w:rsid w:val="00051B61"/>
    <w:rsid w:val="00051F32"/>
    <w:rsid w:val="000523FE"/>
    <w:rsid w:val="00052436"/>
    <w:rsid w:val="000529B6"/>
    <w:rsid w:val="00052AD4"/>
    <w:rsid w:val="00052BA6"/>
    <w:rsid w:val="00053F21"/>
    <w:rsid w:val="00054462"/>
    <w:rsid w:val="0005460C"/>
    <w:rsid w:val="00056696"/>
    <w:rsid w:val="000566A1"/>
    <w:rsid w:val="00056809"/>
    <w:rsid w:val="00056DB0"/>
    <w:rsid w:val="000570FC"/>
    <w:rsid w:val="0005783A"/>
    <w:rsid w:val="00057C03"/>
    <w:rsid w:val="00057FA2"/>
    <w:rsid w:val="0006026C"/>
    <w:rsid w:val="0006036B"/>
    <w:rsid w:val="00060AC6"/>
    <w:rsid w:val="00060BB0"/>
    <w:rsid w:val="0006109A"/>
    <w:rsid w:val="0006141D"/>
    <w:rsid w:val="00061A5F"/>
    <w:rsid w:val="00061B9D"/>
    <w:rsid w:val="00061FEF"/>
    <w:rsid w:val="00062740"/>
    <w:rsid w:val="00062834"/>
    <w:rsid w:val="00062B47"/>
    <w:rsid w:val="00062F98"/>
    <w:rsid w:val="0006320B"/>
    <w:rsid w:val="00063C19"/>
    <w:rsid w:val="000646B3"/>
    <w:rsid w:val="00064C77"/>
    <w:rsid w:val="00064E8C"/>
    <w:rsid w:val="00064EB7"/>
    <w:rsid w:val="00064EF7"/>
    <w:rsid w:val="0006514E"/>
    <w:rsid w:val="000652C1"/>
    <w:rsid w:val="00065458"/>
    <w:rsid w:val="00066145"/>
    <w:rsid w:val="0006622F"/>
    <w:rsid w:val="00066787"/>
    <w:rsid w:val="00066A42"/>
    <w:rsid w:val="00066B48"/>
    <w:rsid w:val="00067279"/>
    <w:rsid w:val="000672F8"/>
    <w:rsid w:val="0006730B"/>
    <w:rsid w:val="00067942"/>
    <w:rsid w:val="00067D4E"/>
    <w:rsid w:val="00067D5B"/>
    <w:rsid w:val="000702DB"/>
    <w:rsid w:val="00070948"/>
    <w:rsid w:val="00070A7A"/>
    <w:rsid w:val="00071178"/>
    <w:rsid w:val="0007155B"/>
    <w:rsid w:val="000719B7"/>
    <w:rsid w:val="00071A86"/>
    <w:rsid w:val="00071BD9"/>
    <w:rsid w:val="00071DB1"/>
    <w:rsid w:val="00071F05"/>
    <w:rsid w:val="0007203F"/>
    <w:rsid w:val="0007204B"/>
    <w:rsid w:val="00072F47"/>
    <w:rsid w:val="00073808"/>
    <w:rsid w:val="00074396"/>
    <w:rsid w:val="0007446E"/>
    <w:rsid w:val="00074745"/>
    <w:rsid w:val="00074951"/>
    <w:rsid w:val="00074F67"/>
    <w:rsid w:val="000752E8"/>
    <w:rsid w:val="000755B8"/>
    <w:rsid w:val="00075D05"/>
    <w:rsid w:val="00075D4B"/>
    <w:rsid w:val="0007679E"/>
    <w:rsid w:val="00077371"/>
    <w:rsid w:val="00077C0C"/>
    <w:rsid w:val="00080116"/>
    <w:rsid w:val="000808F9"/>
    <w:rsid w:val="00080A6B"/>
    <w:rsid w:val="00080EE8"/>
    <w:rsid w:val="0008125C"/>
    <w:rsid w:val="00081277"/>
    <w:rsid w:val="000813E4"/>
    <w:rsid w:val="00081417"/>
    <w:rsid w:val="0008159C"/>
    <w:rsid w:val="0008195B"/>
    <w:rsid w:val="00081CFF"/>
    <w:rsid w:val="0008258A"/>
    <w:rsid w:val="00082B5C"/>
    <w:rsid w:val="00082DF6"/>
    <w:rsid w:val="00082E64"/>
    <w:rsid w:val="0008303B"/>
    <w:rsid w:val="00083231"/>
    <w:rsid w:val="000834AE"/>
    <w:rsid w:val="00083FAC"/>
    <w:rsid w:val="0008405B"/>
    <w:rsid w:val="00084760"/>
    <w:rsid w:val="00085268"/>
    <w:rsid w:val="00085475"/>
    <w:rsid w:val="0008576B"/>
    <w:rsid w:val="000858D1"/>
    <w:rsid w:val="000859AA"/>
    <w:rsid w:val="00085A04"/>
    <w:rsid w:val="00085C5D"/>
    <w:rsid w:val="00085CCC"/>
    <w:rsid w:val="00085DA5"/>
    <w:rsid w:val="000863E2"/>
    <w:rsid w:val="000864A2"/>
    <w:rsid w:val="0008668D"/>
    <w:rsid w:val="00086F97"/>
    <w:rsid w:val="00087308"/>
    <w:rsid w:val="00087474"/>
    <w:rsid w:val="0008785C"/>
    <w:rsid w:val="00087A3E"/>
    <w:rsid w:val="00090233"/>
    <w:rsid w:val="000906FB"/>
    <w:rsid w:val="000907E5"/>
    <w:rsid w:val="00091245"/>
    <w:rsid w:val="00091EAA"/>
    <w:rsid w:val="00092238"/>
    <w:rsid w:val="0009266A"/>
    <w:rsid w:val="00092AEC"/>
    <w:rsid w:val="000933A6"/>
    <w:rsid w:val="00093CB7"/>
    <w:rsid w:val="0009414D"/>
    <w:rsid w:val="00094388"/>
    <w:rsid w:val="00094B31"/>
    <w:rsid w:val="00094FC6"/>
    <w:rsid w:val="0009514E"/>
    <w:rsid w:val="0009515F"/>
    <w:rsid w:val="000951E1"/>
    <w:rsid w:val="000954DD"/>
    <w:rsid w:val="000955AC"/>
    <w:rsid w:val="000957EA"/>
    <w:rsid w:val="00095818"/>
    <w:rsid w:val="00095974"/>
    <w:rsid w:val="00095B4D"/>
    <w:rsid w:val="00095EE7"/>
    <w:rsid w:val="000966BB"/>
    <w:rsid w:val="00096800"/>
    <w:rsid w:val="00096BBF"/>
    <w:rsid w:val="00096C4B"/>
    <w:rsid w:val="0009792A"/>
    <w:rsid w:val="00097B79"/>
    <w:rsid w:val="00097E17"/>
    <w:rsid w:val="000A0040"/>
    <w:rsid w:val="000A02AD"/>
    <w:rsid w:val="000A0B38"/>
    <w:rsid w:val="000A1199"/>
    <w:rsid w:val="000A22E9"/>
    <w:rsid w:val="000A241E"/>
    <w:rsid w:val="000A2810"/>
    <w:rsid w:val="000A289B"/>
    <w:rsid w:val="000A2C52"/>
    <w:rsid w:val="000A2E37"/>
    <w:rsid w:val="000A36D0"/>
    <w:rsid w:val="000A3B1E"/>
    <w:rsid w:val="000A41D4"/>
    <w:rsid w:val="000A421F"/>
    <w:rsid w:val="000A4BCB"/>
    <w:rsid w:val="000A4BE4"/>
    <w:rsid w:val="000A5077"/>
    <w:rsid w:val="000A50F2"/>
    <w:rsid w:val="000A534D"/>
    <w:rsid w:val="000A5ABE"/>
    <w:rsid w:val="000A5B0D"/>
    <w:rsid w:val="000A60E1"/>
    <w:rsid w:val="000A60F4"/>
    <w:rsid w:val="000A61FB"/>
    <w:rsid w:val="000A7A40"/>
    <w:rsid w:val="000A7AD6"/>
    <w:rsid w:val="000A7C5A"/>
    <w:rsid w:val="000B001D"/>
    <w:rsid w:val="000B015F"/>
    <w:rsid w:val="000B0274"/>
    <w:rsid w:val="000B038E"/>
    <w:rsid w:val="000B08CB"/>
    <w:rsid w:val="000B08D1"/>
    <w:rsid w:val="000B0A95"/>
    <w:rsid w:val="000B0ADF"/>
    <w:rsid w:val="000B0C23"/>
    <w:rsid w:val="000B18C2"/>
    <w:rsid w:val="000B1AAB"/>
    <w:rsid w:val="000B1C18"/>
    <w:rsid w:val="000B1C59"/>
    <w:rsid w:val="000B2C16"/>
    <w:rsid w:val="000B2FC7"/>
    <w:rsid w:val="000B310F"/>
    <w:rsid w:val="000B38C0"/>
    <w:rsid w:val="000B3DAA"/>
    <w:rsid w:val="000B3EEB"/>
    <w:rsid w:val="000B466E"/>
    <w:rsid w:val="000B4681"/>
    <w:rsid w:val="000B4763"/>
    <w:rsid w:val="000B4E20"/>
    <w:rsid w:val="000B4EDC"/>
    <w:rsid w:val="000B5120"/>
    <w:rsid w:val="000B515F"/>
    <w:rsid w:val="000B5605"/>
    <w:rsid w:val="000B57AA"/>
    <w:rsid w:val="000B5AF8"/>
    <w:rsid w:val="000B5F2C"/>
    <w:rsid w:val="000B6184"/>
    <w:rsid w:val="000B6843"/>
    <w:rsid w:val="000B6EB2"/>
    <w:rsid w:val="000B706F"/>
    <w:rsid w:val="000B77F8"/>
    <w:rsid w:val="000B78CC"/>
    <w:rsid w:val="000B7AE2"/>
    <w:rsid w:val="000C0203"/>
    <w:rsid w:val="000C041C"/>
    <w:rsid w:val="000C091B"/>
    <w:rsid w:val="000C0A81"/>
    <w:rsid w:val="000C0F48"/>
    <w:rsid w:val="000C0F5C"/>
    <w:rsid w:val="000C1356"/>
    <w:rsid w:val="000C16B1"/>
    <w:rsid w:val="000C18D0"/>
    <w:rsid w:val="000C1FB5"/>
    <w:rsid w:val="000C20E9"/>
    <w:rsid w:val="000C2555"/>
    <w:rsid w:val="000C25C3"/>
    <w:rsid w:val="000C2DF1"/>
    <w:rsid w:val="000C3692"/>
    <w:rsid w:val="000C37AC"/>
    <w:rsid w:val="000C3B1F"/>
    <w:rsid w:val="000C43D9"/>
    <w:rsid w:val="000C44B7"/>
    <w:rsid w:val="000C458C"/>
    <w:rsid w:val="000C4D1E"/>
    <w:rsid w:val="000C5329"/>
    <w:rsid w:val="000C5D43"/>
    <w:rsid w:val="000C5F42"/>
    <w:rsid w:val="000C60E6"/>
    <w:rsid w:val="000C6548"/>
    <w:rsid w:val="000C6591"/>
    <w:rsid w:val="000C6D2E"/>
    <w:rsid w:val="000C709F"/>
    <w:rsid w:val="000C72CA"/>
    <w:rsid w:val="000C7872"/>
    <w:rsid w:val="000C7AFF"/>
    <w:rsid w:val="000C7BA9"/>
    <w:rsid w:val="000C7C7C"/>
    <w:rsid w:val="000C7CAA"/>
    <w:rsid w:val="000D0476"/>
    <w:rsid w:val="000D04C1"/>
    <w:rsid w:val="000D0624"/>
    <w:rsid w:val="000D0DF7"/>
    <w:rsid w:val="000D0E50"/>
    <w:rsid w:val="000D1171"/>
    <w:rsid w:val="000D13A6"/>
    <w:rsid w:val="000D2113"/>
    <w:rsid w:val="000D2266"/>
    <w:rsid w:val="000D2736"/>
    <w:rsid w:val="000D2C27"/>
    <w:rsid w:val="000D30E7"/>
    <w:rsid w:val="000D35F7"/>
    <w:rsid w:val="000D3646"/>
    <w:rsid w:val="000D3760"/>
    <w:rsid w:val="000D3BCC"/>
    <w:rsid w:val="000D43AC"/>
    <w:rsid w:val="000D44DB"/>
    <w:rsid w:val="000D4645"/>
    <w:rsid w:val="000D467B"/>
    <w:rsid w:val="000D58C9"/>
    <w:rsid w:val="000D5DA8"/>
    <w:rsid w:val="000D5F42"/>
    <w:rsid w:val="000D62F3"/>
    <w:rsid w:val="000D6630"/>
    <w:rsid w:val="000D682D"/>
    <w:rsid w:val="000D7E24"/>
    <w:rsid w:val="000D7EAD"/>
    <w:rsid w:val="000E06CA"/>
    <w:rsid w:val="000E07FC"/>
    <w:rsid w:val="000E0B79"/>
    <w:rsid w:val="000E0C92"/>
    <w:rsid w:val="000E0D69"/>
    <w:rsid w:val="000E0ECF"/>
    <w:rsid w:val="000E0F57"/>
    <w:rsid w:val="000E12A8"/>
    <w:rsid w:val="000E184E"/>
    <w:rsid w:val="000E1A44"/>
    <w:rsid w:val="000E1DE0"/>
    <w:rsid w:val="000E21D3"/>
    <w:rsid w:val="000E247B"/>
    <w:rsid w:val="000E247C"/>
    <w:rsid w:val="000E27E9"/>
    <w:rsid w:val="000E2A6C"/>
    <w:rsid w:val="000E2DC9"/>
    <w:rsid w:val="000E2E4B"/>
    <w:rsid w:val="000E2FF1"/>
    <w:rsid w:val="000E3DFD"/>
    <w:rsid w:val="000E4477"/>
    <w:rsid w:val="000E45E9"/>
    <w:rsid w:val="000E4A24"/>
    <w:rsid w:val="000E5217"/>
    <w:rsid w:val="000E5C17"/>
    <w:rsid w:val="000E6471"/>
    <w:rsid w:val="000E69A5"/>
    <w:rsid w:val="000E721B"/>
    <w:rsid w:val="000E74D2"/>
    <w:rsid w:val="000E7890"/>
    <w:rsid w:val="000E789D"/>
    <w:rsid w:val="000F0055"/>
    <w:rsid w:val="000F0481"/>
    <w:rsid w:val="000F04BF"/>
    <w:rsid w:val="000F0699"/>
    <w:rsid w:val="000F078E"/>
    <w:rsid w:val="000F0BA2"/>
    <w:rsid w:val="000F0F98"/>
    <w:rsid w:val="000F1485"/>
    <w:rsid w:val="000F19E1"/>
    <w:rsid w:val="000F1B61"/>
    <w:rsid w:val="000F2032"/>
    <w:rsid w:val="000F22ED"/>
    <w:rsid w:val="000F2362"/>
    <w:rsid w:val="000F35A9"/>
    <w:rsid w:val="000F377A"/>
    <w:rsid w:val="000F3964"/>
    <w:rsid w:val="000F3BFE"/>
    <w:rsid w:val="000F3C1E"/>
    <w:rsid w:val="000F3DE4"/>
    <w:rsid w:val="000F3EC1"/>
    <w:rsid w:val="000F40FF"/>
    <w:rsid w:val="000F4C32"/>
    <w:rsid w:val="000F4C9B"/>
    <w:rsid w:val="000F52A7"/>
    <w:rsid w:val="000F58A1"/>
    <w:rsid w:val="000F5AA4"/>
    <w:rsid w:val="000F5AC6"/>
    <w:rsid w:val="000F5C5A"/>
    <w:rsid w:val="000F5D25"/>
    <w:rsid w:val="000F613C"/>
    <w:rsid w:val="000F6985"/>
    <w:rsid w:val="000F715A"/>
    <w:rsid w:val="000F72CB"/>
    <w:rsid w:val="000F7AE5"/>
    <w:rsid w:val="000F7B5F"/>
    <w:rsid w:val="001007E8"/>
    <w:rsid w:val="0010093F"/>
    <w:rsid w:val="00100AA8"/>
    <w:rsid w:val="00100B3E"/>
    <w:rsid w:val="0010109D"/>
    <w:rsid w:val="00101327"/>
    <w:rsid w:val="001017B0"/>
    <w:rsid w:val="0010229B"/>
    <w:rsid w:val="00102869"/>
    <w:rsid w:val="00102BB5"/>
    <w:rsid w:val="001036A5"/>
    <w:rsid w:val="001044CC"/>
    <w:rsid w:val="00104591"/>
    <w:rsid w:val="00104765"/>
    <w:rsid w:val="00104B62"/>
    <w:rsid w:val="00104CAF"/>
    <w:rsid w:val="00104EF1"/>
    <w:rsid w:val="00104F3E"/>
    <w:rsid w:val="00105230"/>
    <w:rsid w:val="001054D4"/>
    <w:rsid w:val="00105520"/>
    <w:rsid w:val="0010589B"/>
    <w:rsid w:val="00105BB1"/>
    <w:rsid w:val="00105C0B"/>
    <w:rsid w:val="00105CAF"/>
    <w:rsid w:val="0010629A"/>
    <w:rsid w:val="00106609"/>
    <w:rsid w:val="00106691"/>
    <w:rsid w:val="00107637"/>
    <w:rsid w:val="001079F5"/>
    <w:rsid w:val="00107BCE"/>
    <w:rsid w:val="00107E98"/>
    <w:rsid w:val="00110139"/>
    <w:rsid w:val="00110B0E"/>
    <w:rsid w:val="00110D86"/>
    <w:rsid w:val="00110E83"/>
    <w:rsid w:val="00110F6A"/>
    <w:rsid w:val="00111092"/>
    <w:rsid w:val="00111226"/>
    <w:rsid w:val="00111231"/>
    <w:rsid w:val="00111769"/>
    <w:rsid w:val="00111903"/>
    <w:rsid w:val="001119E0"/>
    <w:rsid w:val="001122A8"/>
    <w:rsid w:val="00112340"/>
    <w:rsid w:val="00112FE4"/>
    <w:rsid w:val="0011301C"/>
    <w:rsid w:val="0011309C"/>
    <w:rsid w:val="00113644"/>
    <w:rsid w:val="00113D17"/>
    <w:rsid w:val="00113E55"/>
    <w:rsid w:val="00113F26"/>
    <w:rsid w:val="0011452F"/>
    <w:rsid w:val="001146D7"/>
    <w:rsid w:val="00114791"/>
    <w:rsid w:val="001149FA"/>
    <w:rsid w:val="00114A1E"/>
    <w:rsid w:val="00114AB9"/>
    <w:rsid w:val="00114DA9"/>
    <w:rsid w:val="00114EBA"/>
    <w:rsid w:val="00114F6B"/>
    <w:rsid w:val="0011546D"/>
    <w:rsid w:val="001155CF"/>
    <w:rsid w:val="00115872"/>
    <w:rsid w:val="00116043"/>
    <w:rsid w:val="001160C4"/>
    <w:rsid w:val="00116463"/>
    <w:rsid w:val="00116637"/>
    <w:rsid w:val="001168CC"/>
    <w:rsid w:val="001169DD"/>
    <w:rsid w:val="001171CF"/>
    <w:rsid w:val="001176F9"/>
    <w:rsid w:val="0011771E"/>
    <w:rsid w:val="001200DD"/>
    <w:rsid w:val="00120123"/>
    <w:rsid w:val="0012045D"/>
    <w:rsid w:val="001209AC"/>
    <w:rsid w:val="00120B32"/>
    <w:rsid w:val="0012143F"/>
    <w:rsid w:val="00122124"/>
    <w:rsid w:val="001221E3"/>
    <w:rsid w:val="0012226D"/>
    <w:rsid w:val="0012281C"/>
    <w:rsid w:val="00122966"/>
    <w:rsid w:val="00122EC3"/>
    <w:rsid w:val="00123512"/>
    <w:rsid w:val="00123811"/>
    <w:rsid w:val="00123C6D"/>
    <w:rsid w:val="00123FBB"/>
    <w:rsid w:val="001241B1"/>
    <w:rsid w:val="00124603"/>
    <w:rsid w:val="0012477A"/>
    <w:rsid w:val="00124CBF"/>
    <w:rsid w:val="00124FE3"/>
    <w:rsid w:val="0012683D"/>
    <w:rsid w:val="00126CCD"/>
    <w:rsid w:val="00126E8C"/>
    <w:rsid w:val="00127081"/>
    <w:rsid w:val="001271F3"/>
    <w:rsid w:val="0012736E"/>
    <w:rsid w:val="00127A3E"/>
    <w:rsid w:val="00130301"/>
    <w:rsid w:val="001304D0"/>
    <w:rsid w:val="00130543"/>
    <w:rsid w:val="00130B6B"/>
    <w:rsid w:val="00130D1C"/>
    <w:rsid w:val="001314D3"/>
    <w:rsid w:val="001314E0"/>
    <w:rsid w:val="0013190B"/>
    <w:rsid w:val="00131942"/>
    <w:rsid w:val="00131B41"/>
    <w:rsid w:val="00131B76"/>
    <w:rsid w:val="00131CFA"/>
    <w:rsid w:val="00131D4C"/>
    <w:rsid w:val="001325E6"/>
    <w:rsid w:val="0013261A"/>
    <w:rsid w:val="00132D15"/>
    <w:rsid w:val="001338F8"/>
    <w:rsid w:val="00134027"/>
    <w:rsid w:val="0013460E"/>
    <w:rsid w:val="00134DB3"/>
    <w:rsid w:val="00134DB5"/>
    <w:rsid w:val="00135434"/>
    <w:rsid w:val="00135B8B"/>
    <w:rsid w:val="00135D8F"/>
    <w:rsid w:val="00136298"/>
    <w:rsid w:val="00136887"/>
    <w:rsid w:val="00136EE3"/>
    <w:rsid w:val="00136FC4"/>
    <w:rsid w:val="001370F3"/>
    <w:rsid w:val="001373C5"/>
    <w:rsid w:val="001375C8"/>
    <w:rsid w:val="00137605"/>
    <w:rsid w:val="00137C23"/>
    <w:rsid w:val="00137EA2"/>
    <w:rsid w:val="00140395"/>
    <w:rsid w:val="00140724"/>
    <w:rsid w:val="0014076F"/>
    <w:rsid w:val="00140EF1"/>
    <w:rsid w:val="0014109C"/>
    <w:rsid w:val="001410D6"/>
    <w:rsid w:val="00141635"/>
    <w:rsid w:val="00141796"/>
    <w:rsid w:val="001429B9"/>
    <w:rsid w:val="00142EAA"/>
    <w:rsid w:val="00144258"/>
    <w:rsid w:val="00144425"/>
    <w:rsid w:val="0014519F"/>
    <w:rsid w:val="00145426"/>
    <w:rsid w:val="001455B3"/>
    <w:rsid w:val="00145984"/>
    <w:rsid w:val="001459AF"/>
    <w:rsid w:val="00145A91"/>
    <w:rsid w:val="00145B63"/>
    <w:rsid w:val="00145CFD"/>
    <w:rsid w:val="00145DFA"/>
    <w:rsid w:val="00146059"/>
    <w:rsid w:val="001460E1"/>
    <w:rsid w:val="00146C32"/>
    <w:rsid w:val="00147177"/>
    <w:rsid w:val="001473E8"/>
    <w:rsid w:val="001474FC"/>
    <w:rsid w:val="00147874"/>
    <w:rsid w:val="00147DEE"/>
    <w:rsid w:val="00147E5F"/>
    <w:rsid w:val="00150038"/>
    <w:rsid w:val="00150095"/>
    <w:rsid w:val="00150374"/>
    <w:rsid w:val="00150648"/>
    <w:rsid w:val="001507BD"/>
    <w:rsid w:val="001508D4"/>
    <w:rsid w:val="001509A6"/>
    <w:rsid w:val="00150AB6"/>
    <w:rsid w:val="0015194F"/>
    <w:rsid w:val="0015213C"/>
    <w:rsid w:val="001521A6"/>
    <w:rsid w:val="00153126"/>
    <w:rsid w:val="00153942"/>
    <w:rsid w:val="00153ECC"/>
    <w:rsid w:val="00154281"/>
    <w:rsid w:val="0015493E"/>
    <w:rsid w:val="0015496C"/>
    <w:rsid w:val="00154F9D"/>
    <w:rsid w:val="00155081"/>
    <w:rsid w:val="001552E6"/>
    <w:rsid w:val="0015546F"/>
    <w:rsid w:val="00155BD9"/>
    <w:rsid w:val="00155D5A"/>
    <w:rsid w:val="00156078"/>
    <w:rsid w:val="00156870"/>
    <w:rsid w:val="00156AAF"/>
    <w:rsid w:val="00156CE9"/>
    <w:rsid w:val="00157445"/>
    <w:rsid w:val="001575AB"/>
    <w:rsid w:val="00157760"/>
    <w:rsid w:val="00157B8C"/>
    <w:rsid w:val="00157C96"/>
    <w:rsid w:val="00160A03"/>
    <w:rsid w:val="00160C3F"/>
    <w:rsid w:val="00160C4D"/>
    <w:rsid w:val="00160CE3"/>
    <w:rsid w:val="00161702"/>
    <w:rsid w:val="00161AC5"/>
    <w:rsid w:val="00162022"/>
    <w:rsid w:val="0016202E"/>
    <w:rsid w:val="001620E8"/>
    <w:rsid w:val="00162453"/>
    <w:rsid w:val="00162626"/>
    <w:rsid w:val="00162C56"/>
    <w:rsid w:val="0016413C"/>
    <w:rsid w:val="001642D5"/>
    <w:rsid w:val="00164CA0"/>
    <w:rsid w:val="00164FB6"/>
    <w:rsid w:val="001650FE"/>
    <w:rsid w:val="001655B0"/>
    <w:rsid w:val="001655B4"/>
    <w:rsid w:val="001655F0"/>
    <w:rsid w:val="00165695"/>
    <w:rsid w:val="0016571D"/>
    <w:rsid w:val="00165736"/>
    <w:rsid w:val="001659BD"/>
    <w:rsid w:val="001659E9"/>
    <w:rsid w:val="0016613D"/>
    <w:rsid w:val="00166961"/>
    <w:rsid w:val="00166A99"/>
    <w:rsid w:val="00166B54"/>
    <w:rsid w:val="00166B7F"/>
    <w:rsid w:val="00166E75"/>
    <w:rsid w:val="00166FC3"/>
    <w:rsid w:val="00167172"/>
    <w:rsid w:val="00167697"/>
    <w:rsid w:val="0016788F"/>
    <w:rsid w:val="001678DC"/>
    <w:rsid w:val="00167A77"/>
    <w:rsid w:val="00167B77"/>
    <w:rsid w:val="00167C18"/>
    <w:rsid w:val="001705BD"/>
    <w:rsid w:val="00170609"/>
    <w:rsid w:val="00170759"/>
    <w:rsid w:val="001709F6"/>
    <w:rsid w:val="00170A84"/>
    <w:rsid w:val="00170FE8"/>
    <w:rsid w:val="0017100D"/>
    <w:rsid w:val="001714C4"/>
    <w:rsid w:val="00171709"/>
    <w:rsid w:val="00171736"/>
    <w:rsid w:val="001719DC"/>
    <w:rsid w:val="00171B78"/>
    <w:rsid w:val="00171F52"/>
    <w:rsid w:val="0017278A"/>
    <w:rsid w:val="001731F8"/>
    <w:rsid w:val="00173504"/>
    <w:rsid w:val="001736EE"/>
    <w:rsid w:val="001738EB"/>
    <w:rsid w:val="00173AE7"/>
    <w:rsid w:val="00173BE6"/>
    <w:rsid w:val="00173F9E"/>
    <w:rsid w:val="00174031"/>
    <w:rsid w:val="00174144"/>
    <w:rsid w:val="001745D3"/>
    <w:rsid w:val="00174929"/>
    <w:rsid w:val="0017531D"/>
    <w:rsid w:val="00175832"/>
    <w:rsid w:val="00175908"/>
    <w:rsid w:val="00175B07"/>
    <w:rsid w:val="001760AF"/>
    <w:rsid w:val="0017623C"/>
    <w:rsid w:val="00176569"/>
    <w:rsid w:val="001765B1"/>
    <w:rsid w:val="001766A3"/>
    <w:rsid w:val="00176A18"/>
    <w:rsid w:val="00176C78"/>
    <w:rsid w:val="00176D60"/>
    <w:rsid w:val="00176FAB"/>
    <w:rsid w:val="001774EC"/>
    <w:rsid w:val="00177544"/>
    <w:rsid w:val="0017769E"/>
    <w:rsid w:val="0017782F"/>
    <w:rsid w:val="00177EF9"/>
    <w:rsid w:val="0018042E"/>
    <w:rsid w:val="001804CD"/>
    <w:rsid w:val="00180B42"/>
    <w:rsid w:val="00180D2E"/>
    <w:rsid w:val="00180F31"/>
    <w:rsid w:val="00181004"/>
    <w:rsid w:val="001812E2"/>
    <w:rsid w:val="001817C8"/>
    <w:rsid w:val="00181854"/>
    <w:rsid w:val="001819C5"/>
    <w:rsid w:val="00181FA9"/>
    <w:rsid w:val="00182666"/>
    <w:rsid w:val="00182900"/>
    <w:rsid w:val="00183709"/>
    <w:rsid w:val="00183750"/>
    <w:rsid w:val="001844DA"/>
    <w:rsid w:val="00184F1D"/>
    <w:rsid w:val="00185114"/>
    <w:rsid w:val="0018553B"/>
    <w:rsid w:val="00185C20"/>
    <w:rsid w:val="00185D40"/>
    <w:rsid w:val="0018631D"/>
    <w:rsid w:val="00186487"/>
    <w:rsid w:val="0018699B"/>
    <w:rsid w:val="00186F8A"/>
    <w:rsid w:val="001873D4"/>
    <w:rsid w:val="001877D8"/>
    <w:rsid w:val="0018793A"/>
    <w:rsid w:val="00187A70"/>
    <w:rsid w:val="00187BB1"/>
    <w:rsid w:val="00187C58"/>
    <w:rsid w:val="00187CDB"/>
    <w:rsid w:val="00190171"/>
    <w:rsid w:val="001905A1"/>
    <w:rsid w:val="00190606"/>
    <w:rsid w:val="00190876"/>
    <w:rsid w:val="00190C73"/>
    <w:rsid w:val="00190CC6"/>
    <w:rsid w:val="00190DD4"/>
    <w:rsid w:val="00191B7B"/>
    <w:rsid w:val="00191C5D"/>
    <w:rsid w:val="00192083"/>
    <w:rsid w:val="00192383"/>
    <w:rsid w:val="00192F26"/>
    <w:rsid w:val="00193B7B"/>
    <w:rsid w:val="00193CF3"/>
    <w:rsid w:val="00193F5C"/>
    <w:rsid w:val="00194127"/>
    <w:rsid w:val="00194410"/>
    <w:rsid w:val="00194557"/>
    <w:rsid w:val="001948CB"/>
    <w:rsid w:val="00194D95"/>
    <w:rsid w:val="00194D9C"/>
    <w:rsid w:val="00194F99"/>
    <w:rsid w:val="00195377"/>
    <w:rsid w:val="00195A3C"/>
    <w:rsid w:val="00195D18"/>
    <w:rsid w:val="00195E3A"/>
    <w:rsid w:val="0019676F"/>
    <w:rsid w:val="0019683F"/>
    <w:rsid w:val="00196A61"/>
    <w:rsid w:val="00196A8B"/>
    <w:rsid w:val="0019715F"/>
    <w:rsid w:val="001972B1"/>
    <w:rsid w:val="001974D4"/>
    <w:rsid w:val="001975FB"/>
    <w:rsid w:val="001977EC"/>
    <w:rsid w:val="001978AE"/>
    <w:rsid w:val="00197BE4"/>
    <w:rsid w:val="001A0763"/>
    <w:rsid w:val="001A1339"/>
    <w:rsid w:val="001A1527"/>
    <w:rsid w:val="001A1555"/>
    <w:rsid w:val="001A1661"/>
    <w:rsid w:val="001A175F"/>
    <w:rsid w:val="001A19B4"/>
    <w:rsid w:val="001A1B68"/>
    <w:rsid w:val="001A1BB2"/>
    <w:rsid w:val="001A2450"/>
    <w:rsid w:val="001A27B9"/>
    <w:rsid w:val="001A2A37"/>
    <w:rsid w:val="001A2B11"/>
    <w:rsid w:val="001A2F36"/>
    <w:rsid w:val="001A2FFF"/>
    <w:rsid w:val="001A31FA"/>
    <w:rsid w:val="001A3496"/>
    <w:rsid w:val="001A381D"/>
    <w:rsid w:val="001A3DFA"/>
    <w:rsid w:val="001A3EF1"/>
    <w:rsid w:val="001A4093"/>
    <w:rsid w:val="001A42CE"/>
    <w:rsid w:val="001A43F6"/>
    <w:rsid w:val="001A453A"/>
    <w:rsid w:val="001A46DA"/>
    <w:rsid w:val="001A4757"/>
    <w:rsid w:val="001A4D97"/>
    <w:rsid w:val="001A4FB3"/>
    <w:rsid w:val="001A501A"/>
    <w:rsid w:val="001A52CF"/>
    <w:rsid w:val="001A5914"/>
    <w:rsid w:val="001A5BFF"/>
    <w:rsid w:val="001A5E41"/>
    <w:rsid w:val="001A6195"/>
    <w:rsid w:val="001A62CD"/>
    <w:rsid w:val="001A639A"/>
    <w:rsid w:val="001A6519"/>
    <w:rsid w:val="001A6715"/>
    <w:rsid w:val="001A6A70"/>
    <w:rsid w:val="001A6F06"/>
    <w:rsid w:val="001A719C"/>
    <w:rsid w:val="001A7C03"/>
    <w:rsid w:val="001A7CE0"/>
    <w:rsid w:val="001A7D50"/>
    <w:rsid w:val="001A7E97"/>
    <w:rsid w:val="001B0F05"/>
    <w:rsid w:val="001B10C5"/>
    <w:rsid w:val="001B12D9"/>
    <w:rsid w:val="001B12FB"/>
    <w:rsid w:val="001B16C8"/>
    <w:rsid w:val="001B1A60"/>
    <w:rsid w:val="001B1CF8"/>
    <w:rsid w:val="001B20B3"/>
    <w:rsid w:val="001B20EC"/>
    <w:rsid w:val="001B3187"/>
    <w:rsid w:val="001B322B"/>
    <w:rsid w:val="001B32D6"/>
    <w:rsid w:val="001B3587"/>
    <w:rsid w:val="001B364C"/>
    <w:rsid w:val="001B38ED"/>
    <w:rsid w:val="001B3B03"/>
    <w:rsid w:val="001B3C11"/>
    <w:rsid w:val="001B3C27"/>
    <w:rsid w:val="001B3C2A"/>
    <w:rsid w:val="001B4020"/>
    <w:rsid w:val="001B406D"/>
    <w:rsid w:val="001B40C8"/>
    <w:rsid w:val="001B42D3"/>
    <w:rsid w:val="001B5580"/>
    <w:rsid w:val="001B5808"/>
    <w:rsid w:val="001B5AEE"/>
    <w:rsid w:val="001B5E4E"/>
    <w:rsid w:val="001B5EBE"/>
    <w:rsid w:val="001B608F"/>
    <w:rsid w:val="001B6210"/>
    <w:rsid w:val="001B630E"/>
    <w:rsid w:val="001B6498"/>
    <w:rsid w:val="001B6EB6"/>
    <w:rsid w:val="001B700A"/>
    <w:rsid w:val="001B7294"/>
    <w:rsid w:val="001B7AC1"/>
    <w:rsid w:val="001B7C4F"/>
    <w:rsid w:val="001B7CFF"/>
    <w:rsid w:val="001C0985"/>
    <w:rsid w:val="001C0BB4"/>
    <w:rsid w:val="001C0CFC"/>
    <w:rsid w:val="001C0F6D"/>
    <w:rsid w:val="001C12DF"/>
    <w:rsid w:val="001C162D"/>
    <w:rsid w:val="001C19C1"/>
    <w:rsid w:val="001C21C3"/>
    <w:rsid w:val="001C2379"/>
    <w:rsid w:val="001C24D1"/>
    <w:rsid w:val="001C26D4"/>
    <w:rsid w:val="001C29D1"/>
    <w:rsid w:val="001C304B"/>
    <w:rsid w:val="001C3113"/>
    <w:rsid w:val="001C3616"/>
    <w:rsid w:val="001C372A"/>
    <w:rsid w:val="001C38E9"/>
    <w:rsid w:val="001C3A55"/>
    <w:rsid w:val="001C3A64"/>
    <w:rsid w:val="001C3A6B"/>
    <w:rsid w:val="001C42F0"/>
    <w:rsid w:val="001C44CF"/>
    <w:rsid w:val="001C4891"/>
    <w:rsid w:val="001C491E"/>
    <w:rsid w:val="001C51D6"/>
    <w:rsid w:val="001C52EB"/>
    <w:rsid w:val="001C53CD"/>
    <w:rsid w:val="001C5587"/>
    <w:rsid w:val="001C5C58"/>
    <w:rsid w:val="001C5F2F"/>
    <w:rsid w:val="001C6350"/>
    <w:rsid w:val="001C6762"/>
    <w:rsid w:val="001C6A94"/>
    <w:rsid w:val="001C6F75"/>
    <w:rsid w:val="001C7BB7"/>
    <w:rsid w:val="001C7F0D"/>
    <w:rsid w:val="001D00BE"/>
    <w:rsid w:val="001D059B"/>
    <w:rsid w:val="001D0BAA"/>
    <w:rsid w:val="001D194C"/>
    <w:rsid w:val="001D19F8"/>
    <w:rsid w:val="001D1AC6"/>
    <w:rsid w:val="001D1BE1"/>
    <w:rsid w:val="001D1C22"/>
    <w:rsid w:val="001D1CB8"/>
    <w:rsid w:val="001D1EE8"/>
    <w:rsid w:val="001D25F7"/>
    <w:rsid w:val="001D2869"/>
    <w:rsid w:val="001D3504"/>
    <w:rsid w:val="001D3E33"/>
    <w:rsid w:val="001D44A9"/>
    <w:rsid w:val="001D477C"/>
    <w:rsid w:val="001D48C2"/>
    <w:rsid w:val="001D4F72"/>
    <w:rsid w:val="001D5156"/>
    <w:rsid w:val="001D51EE"/>
    <w:rsid w:val="001D553A"/>
    <w:rsid w:val="001D56D8"/>
    <w:rsid w:val="001D5D63"/>
    <w:rsid w:val="001D5E32"/>
    <w:rsid w:val="001D662A"/>
    <w:rsid w:val="001D6674"/>
    <w:rsid w:val="001D68A9"/>
    <w:rsid w:val="001D69F6"/>
    <w:rsid w:val="001D6ED1"/>
    <w:rsid w:val="001D73E9"/>
    <w:rsid w:val="001D7529"/>
    <w:rsid w:val="001D7622"/>
    <w:rsid w:val="001D7849"/>
    <w:rsid w:val="001E0988"/>
    <w:rsid w:val="001E0B4B"/>
    <w:rsid w:val="001E1104"/>
    <w:rsid w:val="001E17EE"/>
    <w:rsid w:val="001E2057"/>
    <w:rsid w:val="001E3126"/>
    <w:rsid w:val="001E342F"/>
    <w:rsid w:val="001E3641"/>
    <w:rsid w:val="001E3BB7"/>
    <w:rsid w:val="001E4075"/>
    <w:rsid w:val="001E4458"/>
    <w:rsid w:val="001E4A4E"/>
    <w:rsid w:val="001E4EC8"/>
    <w:rsid w:val="001E5296"/>
    <w:rsid w:val="001E52D0"/>
    <w:rsid w:val="001E5898"/>
    <w:rsid w:val="001E679C"/>
    <w:rsid w:val="001E6E9B"/>
    <w:rsid w:val="001E74A2"/>
    <w:rsid w:val="001E7571"/>
    <w:rsid w:val="001E79EC"/>
    <w:rsid w:val="001E7C9C"/>
    <w:rsid w:val="001E7D80"/>
    <w:rsid w:val="001F0064"/>
    <w:rsid w:val="001F019D"/>
    <w:rsid w:val="001F02C9"/>
    <w:rsid w:val="001F04C1"/>
    <w:rsid w:val="001F066B"/>
    <w:rsid w:val="001F06CB"/>
    <w:rsid w:val="001F0917"/>
    <w:rsid w:val="001F0E07"/>
    <w:rsid w:val="001F10BF"/>
    <w:rsid w:val="001F1264"/>
    <w:rsid w:val="001F265E"/>
    <w:rsid w:val="001F27EF"/>
    <w:rsid w:val="001F2A08"/>
    <w:rsid w:val="001F2AF4"/>
    <w:rsid w:val="001F2BDD"/>
    <w:rsid w:val="001F2EC3"/>
    <w:rsid w:val="001F3A14"/>
    <w:rsid w:val="001F3F6B"/>
    <w:rsid w:val="001F4031"/>
    <w:rsid w:val="001F4041"/>
    <w:rsid w:val="001F4283"/>
    <w:rsid w:val="001F4BC4"/>
    <w:rsid w:val="001F4FE5"/>
    <w:rsid w:val="001F51FB"/>
    <w:rsid w:val="001F526D"/>
    <w:rsid w:val="001F6640"/>
    <w:rsid w:val="001F668A"/>
    <w:rsid w:val="001F692A"/>
    <w:rsid w:val="001F6A76"/>
    <w:rsid w:val="001F6B79"/>
    <w:rsid w:val="001F70B0"/>
    <w:rsid w:val="001F7219"/>
    <w:rsid w:val="001F7299"/>
    <w:rsid w:val="001F739B"/>
    <w:rsid w:val="001F74EC"/>
    <w:rsid w:val="001F7675"/>
    <w:rsid w:val="001F78C4"/>
    <w:rsid w:val="001F7A57"/>
    <w:rsid w:val="001F7BE1"/>
    <w:rsid w:val="001F7FE3"/>
    <w:rsid w:val="0020001D"/>
    <w:rsid w:val="00200066"/>
    <w:rsid w:val="0020021E"/>
    <w:rsid w:val="00200846"/>
    <w:rsid w:val="002008F6"/>
    <w:rsid w:val="00200ACA"/>
    <w:rsid w:val="00200FAF"/>
    <w:rsid w:val="0020101A"/>
    <w:rsid w:val="002012D2"/>
    <w:rsid w:val="002014B8"/>
    <w:rsid w:val="002014D6"/>
    <w:rsid w:val="00201CE7"/>
    <w:rsid w:val="0020209C"/>
    <w:rsid w:val="00202205"/>
    <w:rsid w:val="002025B5"/>
    <w:rsid w:val="00202618"/>
    <w:rsid w:val="0020266D"/>
    <w:rsid w:val="00202F0E"/>
    <w:rsid w:val="002032D7"/>
    <w:rsid w:val="002035D3"/>
    <w:rsid w:val="00203771"/>
    <w:rsid w:val="00203EAB"/>
    <w:rsid w:val="00203EED"/>
    <w:rsid w:val="0020407D"/>
    <w:rsid w:val="002048E5"/>
    <w:rsid w:val="00205930"/>
    <w:rsid w:val="00206439"/>
    <w:rsid w:val="00206457"/>
    <w:rsid w:val="00206A85"/>
    <w:rsid w:val="00206B8C"/>
    <w:rsid w:val="00206B91"/>
    <w:rsid w:val="00206F96"/>
    <w:rsid w:val="00207716"/>
    <w:rsid w:val="00210012"/>
    <w:rsid w:val="002103DD"/>
    <w:rsid w:val="00210665"/>
    <w:rsid w:val="00210E29"/>
    <w:rsid w:val="002116E1"/>
    <w:rsid w:val="00211AEA"/>
    <w:rsid w:val="00211DBE"/>
    <w:rsid w:val="00211E03"/>
    <w:rsid w:val="00211E9E"/>
    <w:rsid w:val="002122ED"/>
    <w:rsid w:val="002129BF"/>
    <w:rsid w:val="00212C2D"/>
    <w:rsid w:val="002136A6"/>
    <w:rsid w:val="00213AAA"/>
    <w:rsid w:val="0021490D"/>
    <w:rsid w:val="00214A82"/>
    <w:rsid w:val="00214C79"/>
    <w:rsid w:val="00214D19"/>
    <w:rsid w:val="00214DE3"/>
    <w:rsid w:val="00215003"/>
    <w:rsid w:val="002152D9"/>
    <w:rsid w:val="00215812"/>
    <w:rsid w:val="00215CD2"/>
    <w:rsid w:val="00215D95"/>
    <w:rsid w:val="002164C7"/>
    <w:rsid w:val="0021683B"/>
    <w:rsid w:val="00216A24"/>
    <w:rsid w:val="00216A67"/>
    <w:rsid w:val="00216AC5"/>
    <w:rsid w:val="002170B5"/>
    <w:rsid w:val="00217308"/>
    <w:rsid w:val="002173B6"/>
    <w:rsid w:val="00217568"/>
    <w:rsid w:val="00217608"/>
    <w:rsid w:val="002176E7"/>
    <w:rsid w:val="00217885"/>
    <w:rsid w:val="002178E0"/>
    <w:rsid w:val="00217AF0"/>
    <w:rsid w:val="00217B22"/>
    <w:rsid w:val="00217C37"/>
    <w:rsid w:val="00217D57"/>
    <w:rsid w:val="00217E5F"/>
    <w:rsid w:val="00220199"/>
    <w:rsid w:val="00221008"/>
    <w:rsid w:val="00221168"/>
    <w:rsid w:val="00221460"/>
    <w:rsid w:val="00221936"/>
    <w:rsid w:val="002222EC"/>
    <w:rsid w:val="00222562"/>
    <w:rsid w:val="00222611"/>
    <w:rsid w:val="0022269C"/>
    <w:rsid w:val="00223048"/>
    <w:rsid w:val="002230B3"/>
    <w:rsid w:val="00223499"/>
    <w:rsid w:val="00223525"/>
    <w:rsid w:val="00223BD2"/>
    <w:rsid w:val="002243B2"/>
    <w:rsid w:val="00224558"/>
    <w:rsid w:val="002250B5"/>
    <w:rsid w:val="00225968"/>
    <w:rsid w:val="00226AC8"/>
    <w:rsid w:val="00226B8B"/>
    <w:rsid w:val="00227007"/>
    <w:rsid w:val="00227831"/>
    <w:rsid w:val="00227D77"/>
    <w:rsid w:val="00227D9A"/>
    <w:rsid w:val="00227EE4"/>
    <w:rsid w:val="0023026E"/>
    <w:rsid w:val="002306DA"/>
    <w:rsid w:val="002308E6"/>
    <w:rsid w:val="00230AC9"/>
    <w:rsid w:val="00230ADF"/>
    <w:rsid w:val="00230D85"/>
    <w:rsid w:val="00230ED9"/>
    <w:rsid w:val="002313E1"/>
    <w:rsid w:val="0023181D"/>
    <w:rsid w:val="0023182B"/>
    <w:rsid w:val="00231D41"/>
    <w:rsid w:val="00232009"/>
    <w:rsid w:val="00232690"/>
    <w:rsid w:val="00232775"/>
    <w:rsid w:val="002328B4"/>
    <w:rsid w:val="00232CE9"/>
    <w:rsid w:val="00233281"/>
    <w:rsid w:val="00233467"/>
    <w:rsid w:val="002337E3"/>
    <w:rsid w:val="00233F46"/>
    <w:rsid w:val="002344C2"/>
    <w:rsid w:val="00234984"/>
    <w:rsid w:val="00234F01"/>
    <w:rsid w:val="002351A0"/>
    <w:rsid w:val="00235925"/>
    <w:rsid w:val="00235CCC"/>
    <w:rsid w:val="00236081"/>
    <w:rsid w:val="00236831"/>
    <w:rsid w:val="00236B8C"/>
    <w:rsid w:val="00236D6E"/>
    <w:rsid w:val="00236DF8"/>
    <w:rsid w:val="00236F7D"/>
    <w:rsid w:val="00237301"/>
    <w:rsid w:val="00237491"/>
    <w:rsid w:val="002375C3"/>
    <w:rsid w:val="00237742"/>
    <w:rsid w:val="002377CA"/>
    <w:rsid w:val="00237E30"/>
    <w:rsid w:val="002401AA"/>
    <w:rsid w:val="002403AB"/>
    <w:rsid w:val="00240540"/>
    <w:rsid w:val="002406C1"/>
    <w:rsid w:val="00240970"/>
    <w:rsid w:val="002413F9"/>
    <w:rsid w:val="002418C5"/>
    <w:rsid w:val="00241952"/>
    <w:rsid w:val="00241CE5"/>
    <w:rsid w:val="00242508"/>
    <w:rsid w:val="002428CD"/>
    <w:rsid w:val="00242E99"/>
    <w:rsid w:val="0024358F"/>
    <w:rsid w:val="002436C3"/>
    <w:rsid w:val="0024378C"/>
    <w:rsid w:val="00243B48"/>
    <w:rsid w:val="002442D2"/>
    <w:rsid w:val="002446F5"/>
    <w:rsid w:val="002452CD"/>
    <w:rsid w:val="00245778"/>
    <w:rsid w:val="002459A7"/>
    <w:rsid w:val="00245CD4"/>
    <w:rsid w:val="002461A0"/>
    <w:rsid w:val="00246381"/>
    <w:rsid w:val="0024647E"/>
    <w:rsid w:val="00246488"/>
    <w:rsid w:val="002464D6"/>
    <w:rsid w:val="00246D42"/>
    <w:rsid w:val="002474BB"/>
    <w:rsid w:val="00247547"/>
    <w:rsid w:val="0024757C"/>
    <w:rsid w:val="0024791E"/>
    <w:rsid w:val="00247DA9"/>
    <w:rsid w:val="00247EEF"/>
    <w:rsid w:val="00250008"/>
    <w:rsid w:val="00250197"/>
    <w:rsid w:val="00250199"/>
    <w:rsid w:val="00250BBC"/>
    <w:rsid w:val="0025166D"/>
    <w:rsid w:val="002517D6"/>
    <w:rsid w:val="00251857"/>
    <w:rsid w:val="00251CAD"/>
    <w:rsid w:val="00251CDB"/>
    <w:rsid w:val="00251F27"/>
    <w:rsid w:val="0025288D"/>
    <w:rsid w:val="0025295F"/>
    <w:rsid w:val="00252CAC"/>
    <w:rsid w:val="00252F03"/>
    <w:rsid w:val="00254068"/>
    <w:rsid w:val="00254132"/>
    <w:rsid w:val="0025437F"/>
    <w:rsid w:val="002543B7"/>
    <w:rsid w:val="002543E4"/>
    <w:rsid w:val="0025491D"/>
    <w:rsid w:val="00254C66"/>
    <w:rsid w:val="00254F01"/>
    <w:rsid w:val="00255EE8"/>
    <w:rsid w:val="00255FCE"/>
    <w:rsid w:val="00256194"/>
    <w:rsid w:val="002561EB"/>
    <w:rsid w:val="002562FC"/>
    <w:rsid w:val="0025655B"/>
    <w:rsid w:val="00256DF7"/>
    <w:rsid w:val="0025779A"/>
    <w:rsid w:val="0025779D"/>
    <w:rsid w:val="0026029A"/>
    <w:rsid w:val="00260D15"/>
    <w:rsid w:val="00260E67"/>
    <w:rsid w:val="00260F20"/>
    <w:rsid w:val="00261176"/>
    <w:rsid w:val="00261393"/>
    <w:rsid w:val="002613DB"/>
    <w:rsid w:val="002618A3"/>
    <w:rsid w:val="00262123"/>
    <w:rsid w:val="00262646"/>
    <w:rsid w:val="00262D2B"/>
    <w:rsid w:val="002636FF"/>
    <w:rsid w:val="002645DA"/>
    <w:rsid w:val="00264E7D"/>
    <w:rsid w:val="002657DE"/>
    <w:rsid w:val="002664C8"/>
    <w:rsid w:val="00266664"/>
    <w:rsid w:val="00266C14"/>
    <w:rsid w:val="00266FD1"/>
    <w:rsid w:val="00267219"/>
    <w:rsid w:val="002676F0"/>
    <w:rsid w:val="002678EF"/>
    <w:rsid w:val="00270446"/>
    <w:rsid w:val="002709C0"/>
    <w:rsid w:val="00270D16"/>
    <w:rsid w:val="00270ED1"/>
    <w:rsid w:val="0027103B"/>
    <w:rsid w:val="0027108A"/>
    <w:rsid w:val="0027121E"/>
    <w:rsid w:val="00271908"/>
    <w:rsid w:val="002719B4"/>
    <w:rsid w:val="00271DA3"/>
    <w:rsid w:val="00272180"/>
    <w:rsid w:val="00272224"/>
    <w:rsid w:val="0027239D"/>
    <w:rsid w:val="00272821"/>
    <w:rsid w:val="00272AB6"/>
    <w:rsid w:val="00272F4D"/>
    <w:rsid w:val="0027343A"/>
    <w:rsid w:val="0027364E"/>
    <w:rsid w:val="00273CD5"/>
    <w:rsid w:val="00274631"/>
    <w:rsid w:val="00274945"/>
    <w:rsid w:val="00274BBF"/>
    <w:rsid w:val="0027520A"/>
    <w:rsid w:val="00275496"/>
    <w:rsid w:val="0027561D"/>
    <w:rsid w:val="0027585D"/>
    <w:rsid w:val="00275FB4"/>
    <w:rsid w:val="00276E24"/>
    <w:rsid w:val="002772ED"/>
    <w:rsid w:val="00277358"/>
    <w:rsid w:val="00277383"/>
    <w:rsid w:val="0027787A"/>
    <w:rsid w:val="00277E59"/>
    <w:rsid w:val="00277F37"/>
    <w:rsid w:val="00277FA6"/>
    <w:rsid w:val="002803B0"/>
    <w:rsid w:val="0028083E"/>
    <w:rsid w:val="002808C0"/>
    <w:rsid w:val="00280A17"/>
    <w:rsid w:val="002810C1"/>
    <w:rsid w:val="0028153E"/>
    <w:rsid w:val="00281667"/>
    <w:rsid w:val="00281697"/>
    <w:rsid w:val="00281FAA"/>
    <w:rsid w:val="00281FDB"/>
    <w:rsid w:val="0028231C"/>
    <w:rsid w:val="002823E7"/>
    <w:rsid w:val="002824CF"/>
    <w:rsid w:val="002832D4"/>
    <w:rsid w:val="00283478"/>
    <w:rsid w:val="00283911"/>
    <w:rsid w:val="00283CB0"/>
    <w:rsid w:val="00283F18"/>
    <w:rsid w:val="00283F7A"/>
    <w:rsid w:val="00283F89"/>
    <w:rsid w:val="00284054"/>
    <w:rsid w:val="00284309"/>
    <w:rsid w:val="0028484C"/>
    <w:rsid w:val="00284A2D"/>
    <w:rsid w:val="00284AC3"/>
    <w:rsid w:val="00284BAB"/>
    <w:rsid w:val="00284BEB"/>
    <w:rsid w:val="00285217"/>
    <w:rsid w:val="00285391"/>
    <w:rsid w:val="00285468"/>
    <w:rsid w:val="00285C95"/>
    <w:rsid w:val="00285DB7"/>
    <w:rsid w:val="0028600C"/>
    <w:rsid w:val="00286614"/>
    <w:rsid w:val="0028663B"/>
    <w:rsid w:val="002872FD"/>
    <w:rsid w:val="002873A1"/>
    <w:rsid w:val="00287719"/>
    <w:rsid w:val="00287779"/>
    <w:rsid w:val="002879F7"/>
    <w:rsid w:val="00287E8A"/>
    <w:rsid w:val="00290279"/>
    <w:rsid w:val="00290C6C"/>
    <w:rsid w:val="002910D9"/>
    <w:rsid w:val="00291C64"/>
    <w:rsid w:val="00291ECE"/>
    <w:rsid w:val="00292281"/>
    <w:rsid w:val="002922FD"/>
    <w:rsid w:val="002928CE"/>
    <w:rsid w:val="00292D97"/>
    <w:rsid w:val="00293126"/>
    <w:rsid w:val="002931D4"/>
    <w:rsid w:val="00293C95"/>
    <w:rsid w:val="00293CD8"/>
    <w:rsid w:val="002941AC"/>
    <w:rsid w:val="00294DEF"/>
    <w:rsid w:val="00295028"/>
    <w:rsid w:val="00295262"/>
    <w:rsid w:val="002955A7"/>
    <w:rsid w:val="002958D3"/>
    <w:rsid w:val="00295902"/>
    <w:rsid w:val="00295BB7"/>
    <w:rsid w:val="00295F1E"/>
    <w:rsid w:val="00295FEA"/>
    <w:rsid w:val="00296333"/>
    <w:rsid w:val="00296462"/>
    <w:rsid w:val="0029646F"/>
    <w:rsid w:val="00296630"/>
    <w:rsid w:val="00296802"/>
    <w:rsid w:val="002968A9"/>
    <w:rsid w:val="00296B5F"/>
    <w:rsid w:val="00296BAF"/>
    <w:rsid w:val="00296FDD"/>
    <w:rsid w:val="0029703E"/>
    <w:rsid w:val="002970D6"/>
    <w:rsid w:val="002970ED"/>
    <w:rsid w:val="00297669"/>
    <w:rsid w:val="00297711"/>
    <w:rsid w:val="00297BDD"/>
    <w:rsid w:val="00297D57"/>
    <w:rsid w:val="002A005D"/>
    <w:rsid w:val="002A0275"/>
    <w:rsid w:val="002A0C6D"/>
    <w:rsid w:val="002A0DC3"/>
    <w:rsid w:val="002A113E"/>
    <w:rsid w:val="002A13AA"/>
    <w:rsid w:val="002A1658"/>
    <w:rsid w:val="002A1691"/>
    <w:rsid w:val="002A1C66"/>
    <w:rsid w:val="002A1C73"/>
    <w:rsid w:val="002A2277"/>
    <w:rsid w:val="002A27A0"/>
    <w:rsid w:val="002A3751"/>
    <w:rsid w:val="002A38A0"/>
    <w:rsid w:val="002A3F2C"/>
    <w:rsid w:val="002A4093"/>
    <w:rsid w:val="002A4128"/>
    <w:rsid w:val="002A4668"/>
    <w:rsid w:val="002A48F7"/>
    <w:rsid w:val="002A4A88"/>
    <w:rsid w:val="002A5138"/>
    <w:rsid w:val="002A5147"/>
    <w:rsid w:val="002A552B"/>
    <w:rsid w:val="002A55E2"/>
    <w:rsid w:val="002A56EA"/>
    <w:rsid w:val="002A57FC"/>
    <w:rsid w:val="002A5875"/>
    <w:rsid w:val="002A59D9"/>
    <w:rsid w:val="002A6072"/>
    <w:rsid w:val="002A64C7"/>
    <w:rsid w:val="002A6761"/>
    <w:rsid w:val="002A6BD3"/>
    <w:rsid w:val="002A6DA7"/>
    <w:rsid w:val="002A72AF"/>
    <w:rsid w:val="002A72DE"/>
    <w:rsid w:val="002A75FA"/>
    <w:rsid w:val="002A7722"/>
    <w:rsid w:val="002A7C62"/>
    <w:rsid w:val="002A7FD3"/>
    <w:rsid w:val="002B0125"/>
    <w:rsid w:val="002B0601"/>
    <w:rsid w:val="002B0C0C"/>
    <w:rsid w:val="002B0D66"/>
    <w:rsid w:val="002B10C1"/>
    <w:rsid w:val="002B10D7"/>
    <w:rsid w:val="002B1B71"/>
    <w:rsid w:val="002B1C28"/>
    <w:rsid w:val="002B1D1D"/>
    <w:rsid w:val="002B2009"/>
    <w:rsid w:val="002B20ED"/>
    <w:rsid w:val="002B23C6"/>
    <w:rsid w:val="002B2526"/>
    <w:rsid w:val="002B28AE"/>
    <w:rsid w:val="002B2EDF"/>
    <w:rsid w:val="002B2FC0"/>
    <w:rsid w:val="002B2FD5"/>
    <w:rsid w:val="002B30EB"/>
    <w:rsid w:val="002B31A3"/>
    <w:rsid w:val="002B336E"/>
    <w:rsid w:val="002B34B2"/>
    <w:rsid w:val="002B38F1"/>
    <w:rsid w:val="002B3C01"/>
    <w:rsid w:val="002B3D58"/>
    <w:rsid w:val="002B435F"/>
    <w:rsid w:val="002B43A2"/>
    <w:rsid w:val="002B43C9"/>
    <w:rsid w:val="002B5110"/>
    <w:rsid w:val="002B51FD"/>
    <w:rsid w:val="002B5479"/>
    <w:rsid w:val="002B5C09"/>
    <w:rsid w:val="002B602B"/>
    <w:rsid w:val="002B64DB"/>
    <w:rsid w:val="002B6B56"/>
    <w:rsid w:val="002B6C12"/>
    <w:rsid w:val="002B72BD"/>
    <w:rsid w:val="002B7E68"/>
    <w:rsid w:val="002B7FAB"/>
    <w:rsid w:val="002C002D"/>
    <w:rsid w:val="002C029E"/>
    <w:rsid w:val="002C02C7"/>
    <w:rsid w:val="002C0380"/>
    <w:rsid w:val="002C077D"/>
    <w:rsid w:val="002C0931"/>
    <w:rsid w:val="002C10CE"/>
    <w:rsid w:val="002C1246"/>
    <w:rsid w:val="002C1393"/>
    <w:rsid w:val="002C179E"/>
    <w:rsid w:val="002C1B55"/>
    <w:rsid w:val="002C1C98"/>
    <w:rsid w:val="002C1ED9"/>
    <w:rsid w:val="002C2AC0"/>
    <w:rsid w:val="002C362D"/>
    <w:rsid w:val="002C3BCC"/>
    <w:rsid w:val="002C420F"/>
    <w:rsid w:val="002C426A"/>
    <w:rsid w:val="002C47BE"/>
    <w:rsid w:val="002C48CD"/>
    <w:rsid w:val="002C4ACD"/>
    <w:rsid w:val="002C51FF"/>
    <w:rsid w:val="002C5267"/>
    <w:rsid w:val="002C5815"/>
    <w:rsid w:val="002C5863"/>
    <w:rsid w:val="002C5BCB"/>
    <w:rsid w:val="002C5C27"/>
    <w:rsid w:val="002C5EC5"/>
    <w:rsid w:val="002C6327"/>
    <w:rsid w:val="002C656E"/>
    <w:rsid w:val="002C686F"/>
    <w:rsid w:val="002C6B91"/>
    <w:rsid w:val="002C6BA2"/>
    <w:rsid w:val="002C6CA2"/>
    <w:rsid w:val="002C6F2A"/>
    <w:rsid w:val="002C70B9"/>
    <w:rsid w:val="002C716C"/>
    <w:rsid w:val="002C78F7"/>
    <w:rsid w:val="002C7C1C"/>
    <w:rsid w:val="002D02AE"/>
    <w:rsid w:val="002D06D3"/>
    <w:rsid w:val="002D074A"/>
    <w:rsid w:val="002D0A34"/>
    <w:rsid w:val="002D13A2"/>
    <w:rsid w:val="002D1513"/>
    <w:rsid w:val="002D1592"/>
    <w:rsid w:val="002D1932"/>
    <w:rsid w:val="002D194C"/>
    <w:rsid w:val="002D1A4A"/>
    <w:rsid w:val="002D202D"/>
    <w:rsid w:val="002D219F"/>
    <w:rsid w:val="002D2442"/>
    <w:rsid w:val="002D26ED"/>
    <w:rsid w:val="002D2901"/>
    <w:rsid w:val="002D2BDD"/>
    <w:rsid w:val="002D2D26"/>
    <w:rsid w:val="002D2F9B"/>
    <w:rsid w:val="002D3267"/>
    <w:rsid w:val="002D33E0"/>
    <w:rsid w:val="002D3400"/>
    <w:rsid w:val="002D3674"/>
    <w:rsid w:val="002D4119"/>
    <w:rsid w:val="002D424E"/>
    <w:rsid w:val="002D432D"/>
    <w:rsid w:val="002D4FCA"/>
    <w:rsid w:val="002D53FA"/>
    <w:rsid w:val="002D5439"/>
    <w:rsid w:val="002D5710"/>
    <w:rsid w:val="002D57DD"/>
    <w:rsid w:val="002D582F"/>
    <w:rsid w:val="002D5B8B"/>
    <w:rsid w:val="002D5BE6"/>
    <w:rsid w:val="002D655C"/>
    <w:rsid w:val="002D69C3"/>
    <w:rsid w:val="002D6EB1"/>
    <w:rsid w:val="002D7226"/>
    <w:rsid w:val="002D779F"/>
    <w:rsid w:val="002D77A7"/>
    <w:rsid w:val="002D7C5E"/>
    <w:rsid w:val="002E070D"/>
    <w:rsid w:val="002E073E"/>
    <w:rsid w:val="002E0DCF"/>
    <w:rsid w:val="002E1352"/>
    <w:rsid w:val="002E1417"/>
    <w:rsid w:val="002E1873"/>
    <w:rsid w:val="002E2774"/>
    <w:rsid w:val="002E27E7"/>
    <w:rsid w:val="002E29CE"/>
    <w:rsid w:val="002E2B15"/>
    <w:rsid w:val="002E30EE"/>
    <w:rsid w:val="002E3651"/>
    <w:rsid w:val="002E367B"/>
    <w:rsid w:val="002E43EB"/>
    <w:rsid w:val="002E44A8"/>
    <w:rsid w:val="002E4627"/>
    <w:rsid w:val="002E4B6E"/>
    <w:rsid w:val="002E4E4E"/>
    <w:rsid w:val="002E5146"/>
    <w:rsid w:val="002E5164"/>
    <w:rsid w:val="002E5748"/>
    <w:rsid w:val="002E57CF"/>
    <w:rsid w:val="002E595A"/>
    <w:rsid w:val="002E5991"/>
    <w:rsid w:val="002E5CE7"/>
    <w:rsid w:val="002E64B4"/>
    <w:rsid w:val="002E64FC"/>
    <w:rsid w:val="002E701E"/>
    <w:rsid w:val="002E7020"/>
    <w:rsid w:val="002E73C6"/>
    <w:rsid w:val="002E7CC8"/>
    <w:rsid w:val="002F0135"/>
    <w:rsid w:val="002F0446"/>
    <w:rsid w:val="002F0A87"/>
    <w:rsid w:val="002F0EA1"/>
    <w:rsid w:val="002F2242"/>
    <w:rsid w:val="002F244C"/>
    <w:rsid w:val="002F24CE"/>
    <w:rsid w:val="002F24D8"/>
    <w:rsid w:val="002F27FC"/>
    <w:rsid w:val="002F299B"/>
    <w:rsid w:val="002F2A3F"/>
    <w:rsid w:val="002F2C51"/>
    <w:rsid w:val="002F3890"/>
    <w:rsid w:val="002F3B20"/>
    <w:rsid w:val="002F4ABE"/>
    <w:rsid w:val="002F4AE9"/>
    <w:rsid w:val="002F51E1"/>
    <w:rsid w:val="002F561B"/>
    <w:rsid w:val="002F5B3D"/>
    <w:rsid w:val="002F697E"/>
    <w:rsid w:val="002F6A2E"/>
    <w:rsid w:val="002F6B4E"/>
    <w:rsid w:val="002F73AB"/>
    <w:rsid w:val="002F73AD"/>
    <w:rsid w:val="00300059"/>
    <w:rsid w:val="00300393"/>
    <w:rsid w:val="00300520"/>
    <w:rsid w:val="00300AE4"/>
    <w:rsid w:val="00300C62"/>
    <w:rsid w:val="00301756"/>
    <w:rsid w:val="0030185F"/>
    <w:rsid w:val="00302229"/>
    <w:rsid w:val="00302636"/>
    <w:rsid w:val="0030267A"/>
    <w:rsid w:val="00302715"/>
    <w:rsid w:val="00302957"/>
    <w:rsid w:val="00302C9E"/>
    <w:rsid w:val="003034DA"/>
    <w:rsid w:val="0030355A"/>
    <w:rsid w:val="00303866"/>
    <w:rsid w:val="00303CC6"/>
    <w:rsid w:val="00303CF1"/>
    <w:rsid w:val="0030453B"/>
    <w:rsid w:val="00304577"/>
    <w:rsid w:val="00304656"/>
    <w:rsid w:val="003048BD"/>
    <w:rsid w:val="00304ABA"/>
    <w:rsid w:val="00304D42"/>
    <w:rsid w:val="0030564B"/>
    <w:rsid w:val="00305A04"/>
    <w:rsid w:val="00305AD9"/>
    <w:rsid w:val="00305F70"/>
    <w:rsid w:val="00306641"/>
    <w:rsid w:val="003069A8"/>
    <w:rsid w:val="0030711A"/>
    <w:rsid w:val="003073A2"/>
    <w:rsid w:val="003078C4"/>
    <w:rsid w:val="00307E91"/>
    <w:rsid w:val="003102EC"/>
    <w:rsid w:val="00310786"/>
    <w:rsid w:val="003111E6"/>
    <w:rsid w:val="00311634"/>
    <w:rsid w:val="003117DF"/>
    <w:rsid w:val="00311D65"/>
    <w:rsid w:val="0031223E"/>
    <w:rsid w:val="00312ECF"/>
    <w:rsid w:val="00313BDB"/>
    <w:rsid w:val="00314148"/>
    <w:rsid w:val="00314648"/>
    <w:rsid w:val="0031470E"/>
    <w:rsid w:val="00314B94"/>
    <w:rsid w:val="0031590F"/>
    <w:rsid w:val="00315B98"/>
    <w:rsid w:val="00315BBF"/>
    <w:rsid w:val="00316376"/>
    <w:rsid w:val="003163DD"/>
    <w:rsid w:val="00316455"/>
    <w:rsid w:val="003168F4"/>
    <w:rsid w:val="00316FBB"/>
    <w:rsid w:val="00317A0A"/>
    <w:rsid w:val="00317AE6"/>
    <w:rsid w:val="00317CEC"/>
    <w:rsid w:val="0032048A"/>
    <w:rsid w:val="003206E0"/>
    <w:rsid w:val="003209CB"/>
    <w:rsid w:val="00320BAD"/>
    <w:rsid w:val="00320D0B"/>
    <w:rsid w:val="00320FE8"/>
    <w:rsid w:val="0032121F"/>
    <w:rsid w:val="00321788"/>
    <w:rsid w:val="00321BE4"/>
    <w:rsid w:val="00322892"/>
    <w:rsid w:val="0032292D"/>
    <w:rsid w:val="0032298C"/>
    <w:rsid w:val="003237A6"/>
    <w:rsid w:val="0032395B"/>
    <w:rsid w:val="00323C16"/>
    <w:rsid w:val="00323C42"/>
    <w:rsid w:val="00323E89"/>
    <w:rsid w:val="00324107"/>
    <w:rsid w:val="00324521"/>
    <w:rsid w:val="003247C9"/>
    <w:rsid w:val="00324E8B"/>
    <w:rsid w:val="00325027"/>
    <w:rsid w:val="0032527A"/>
    <w:rsid w:val="00325376"/>
    <w:rsid w:val="003253C8"/>
    <w:rsid w:val="00325C4E"/>
    <w:rsid w:val="00325D50"/>
    <w:rsid w:val="00325E0B"/>
    <w:rsid w:val="00325E3B"/>
    <w:rsid w:val="00326A49"/>
    <w:rsid w:val="00326D45"/>
    <w:rsid w:val="0032718E"/>
    <w:rsid w:val="003271F0"/>
    <w:rsid w:val="00327D5E"/>
    <w:rsid w:val="003304C7"/>
    <w:rsid w:val="00330516"/>
    <w:rsid w:val="00330519"/>
    <w:rsid w:val="003309C5"/>
    <w:rsid w:val="00330CB0"/>
    <w:rsid w:val="003316AF"/>
    <w:rsid w:val="00331C6E"/>
    <w:rsid w:val="00331E19"/>
    <w:rsid w:val="00332332"/>
    <w:rsid w:val="0033241E"/>
    <w:rsid w:val="003324DE"/>
    <w:rsid w:val="003326CC"/>
    <w:rsid w:val="003327C5"/>
    <w:rsid w:val="003328E3"/>
    <w:rsid w:val="00332D03"/>
    <w:rsid w:val="0033305D"/>
    <w:rsid w:val="003339B9"/>
    <w:rsid w:val="00333F11"/>
    <w:rsid w:val="0033402E"/>
    <w:rsid w:val="0033461F"/>
    <w:rsid w:val="003349B3"/>
    <w:rsid w:val="00334CFD"/>
    <w:rsid w:val="00334E1E"/>
    <w:rsid w:val="00335004"/>
    <w:rsid w:val="0033521F"/>
    <w:rsid w:val="00335FB8"/>
    <w:rsid w:val="00336166"/>
    <w:rsid w:val="003361B1"/>
    <w:rsid w:val="00336E33"/>
    <w:rsid w:val="00336EBB"/>
    <w:rsid w:val="0033762D"/>
    <w:rsid w:val="003379BA"/>
    <w:rsid w:val="00340303"/>
    <w:rsid w:val="0034038D"/>
    <w:rsid w:val="0034089C"/>
    <w:rsid w:val="00340BEA"/>
    <w:rsid w:val="00340F89"/>
    <w:rsid w:val="00341B3D"/>
    <w:rsid w:val="00341B8F"/>
    <w:rsid w:val="00341CA3"/>
    <w:rsid w:val="00341E5D"/>
    <w:rsid w:val="003420C4"/>
    <w:rsid w:val="00342233"/>
    <w:rsid w:val="00342728"/>
    <w:rsid w:val="00342C76"/>
    <w:rsid w:val="00342D6B"/>
    <w:rsid w:val="00343340"/>
    <w:rsid w:val="00343361"/>
    <w:rsid w:val="00343912"/>
    <w:rsid w:val="00343C82"/>
    <w:rsid w:val="0034409F"/>
    <w:rsid w:val="00344407"/>
    <w:rsid w:val="00344B74"/>
    <w:rsid w:val="00344C48"/>
    <w:rsid w:val="00344F44"/>
    <w:rsid w:val="00344FE7"/>
    <w:rsid w:val="00345955"/>
    <w:rsid w:val="00345C33"/>
    <w:rsid w:val="00345FAA"/>
    <w:rsid w:val="00346459"/>
    <w:rsid w:val="0034649F"/>
    <w:rsid w:val="003468F1"/>
    <w:rsid w:val="00346C32"/>
    <w:rsid w:val="00347072"/>
    <w:rsid w:val="00347414"/>
    <w:rsid w:val="003475C1"/>
    <w:rsid w:val="00347782"/>
    <w:rsid w:val="003479AF"/>
    <w:rsid w:val="00350390"/>
    <w:rsid w:val="003508FF"/>
    <w:rsid w:val="00350B83"/>
    <w:rsid w:val="00350E61"/>
    <w:rsid w:val="003512E5"/>
    <w:rsid w:val="0035147C"/>
    <w:rsid w:val="00351B63"/>
    <w:rsid w:val="00352144"/>
    <w:rsid w:val="003523AB"/>
    <w:rsid w:val="00352581"/>
    <w:rsid w:val="00352EA7"/>
    <w:rsid w:val="00353DAF"/>
    <w:rsid w:val="0035474A"/>
    <w:rsid w:val="00354CC4"/>
    <w:rsid w:val="00354D0C"/>
    <w:rsid w:val="00354DAE"/>
    <w:rsid w:val="00355241"/>
    <w:rsid w:val="0035528E"/>
    <w:rsid w:val="0035578E"/>
    <w:rsid w:val="00355825"/>
    <w:rsid w:val="00355A16"/>
    <w:rsid w:val="00355B51"/>
    <w:rsid w:val="00356626"/>
    <w:rsid w:val="00357023"/>
    <w:rsid w:val="003574E3"/>
    <w:rsid w:val="003575E6"/>
    <w:rsid w:val="00357E81"/>
    <w:rsid w:val="0036014A"/>
    <w:rsid w:val="00360153"/>
    <w:rsid w:val="00360316"/>
    <w:rsid w:val="00360AE9"/>
    <w:rsid w:val="00360F70"/>
    <w:rsid w:val="003610ED"/>
    <w:rsid w:val="00361DC0"/>
    <w:rsid w:val="00361F12"/>
    <w:rsid w:val="00362096"/>
    <w:rsid w:val="003620D8"/>
    <w:rsid w:val="00362421"/>
    <w:rsid w:val="00362C25"/>
    <w:rsid w:val="003630CC"/>
    <w:rsid w:val="0036312D"/>
    <w:rsid w:val="003634C1"/>
    <w:rsid w:val="00363BA7"/>
    <w:rsid w:val="0036427D"/>
    <w:rsid w:val="00364875"/>
    <w:rsid w:val="00364C1A"/>
    <w:rsid w:val="00365813"/>
    <w:rsid w:val="00365B22"/>
    <w:rsid w:val="00365B95"/>
    <w:rsid w:val="003661C5"/>
    <w:rsid w:val="003662E5"/>
    <w:rsid w:val="003666DC"/>
    <w:rsid w:val="00366B6A"/>
    <w:rsid w:val="00366D64"/>
    <w:rsid w:val="00367233"/>
    <w:rsid w:val="0036771C"/>
    <w:rsid w:val="0036792E"/>
    <w:rsid w:val="00367A5E"/>
    <w:rsid w:val="00367B65"/>
    <w:rsid w:val="00367BB1"/>
    <w:rsid w:val="00367D24"/>
    <w:rsid w:val="0037050D"/>
    <w:rsid w:val="003709D5"/>
    <w:rsid w:val="00370AA8"/>
    <w:rsid w:val="00370AE9"/>
    <w:rsid w:val="00370C38"/>
    <w:rsid w:val="00371254"/>
    <w:rsid w:val="003713AE"/>
    <w:rsid w:val="0037198B"/>
    <w:rsid w:val="003719D1"/>
    <w:rsid w:val="0037277E"/>
    <w:rsid w:val="0037294B"/>
    <w:rsid w:val="003729AD"/>
    <w:rsid w:val="00372E11"/>
    <w:rsid w:val="00372FAB"/>
    <w:rsid w:val="0037308D"/>
    <w:rsid w:val="003730B9"/>
    <w:rsid w:val="00373885"/>
    <w:rsid w:val="00373EB0"/>
    <w:rsid w:val="00374017"/>
    <w:rsid w:val="003745F4"/>
    <w:rsid w:val="00374661"/>
    <w:rsid w:val="00374992"/>
    <w:rsid w:val="00374E6B"/>
    <w:rsid w:val="00375D55"/>
    <w:rsid w:val="00375FF5"/>
    <w:rsid w:val="0037627E"/>
    <w:rsid w:val="003762D9"/>
    <w:rsid w:val="003765F0"/>
    <w:rsid w:val="00376A21"/>
    <w:rsid w:val="00376DA8"/>
    <w:rsid w:val="003770B5"/>
    <w:rsid w:val="003771CB"/>
    <w:rsid w:val="0037766D"/>
    <w:rsid w:val="00377B1E"/>
    <w:rsid w:val="00377BFB"/>
    <w:rsid w:val="00377DA9"/>
    <w:rsid w:val="0038016B"/>
    <w:rsid w:val="0038022C"/>
    <w:rsid w:val="00380683"/>
    <w:rsid w:val="003809C8"/>
    <w:rsid w:val="00380F9F"/>
    <w:rsid w:val="00381607"/>
    <w:rsid w:val="00381643"/>
    <w:rsid w:val="003818C6"/>
    <w:rsid w:val="0038195D"/>
    <w:rsid w:val="00382698"/>
    <w:rsid w:val="003826DB"/>
    <w:rsid w:val="00382762"/>
    <w:rsid w:val="00382D32"/>
    <w:rsid w:val="00382E6A"/>
    <w:rsid w:val="00382F7E"/>
    <w:rsid w:val="00383059"/>
    <w:rsid w:val="003834DF"/>
    <w:rsid w:val="00383A8F"/>
    <w:rsid w:val="00383C0F"/>
    <w:rsid w:val="00383CAB"/>
    <w:rsid w:val="00383D55"/>
    <w:rsid w:val="00383E25"/>
    <w:rsid w:val="00384120"/>
    <w:rsid w:val="0038419E"/>
    <w:rsid w:val="00384865"/>
    <w:rsid w:val="00384C56"/>
    <w:rsid w:val="00384CE5"/>
    <w:rsid w:val="0038507C"/>
    <w:rsid w:val="003857F4"/>
    <w:rsid w:val="00385BC6"/>
    <w:rsid w:val="00385EF9"/>
    <w:rsid w:val="00386415"/>
    <w:rsid w:val="003865C8"/>
    <w:rsid w:val="00386C60"/>
    <w:rsid w:val="00386D01"/>
    <w:rsid w:val="00387529"/>
    <w:rsid w:val="0039035E"/>
    <w:rsid w:val="003903F6"/>
    <w:rsid w:val="00390620"/>
    <w:rsid w:val="0039065B"/>
    <w:rsid w:val="00390732"/>
    <w:rsid w:val="00390AEA"/>
    <w:rsid w:val="0039104A"/>
    <w:rsid w:val="0039143C"/>
    <w:rsid w:val="0039174F"/>
    <w:rsid w:val="0039199B"/>
    <w:rsid w:val="003921FB"/>
    <w:rsid w:val="00392300"/>
    <w:rsid w:val="0039255E"/>
    <w:rsid w:val="00392796"/>
    <w:rsid w:val="00392C21"/>
    <w:rsid w:val="00393210"/>
    <w:rsid w:val="0039331E"/>
    <w:rsid w:val="00393882"/>
    <w:rsid w:val="003946D6"/>
    <w:rsid w:val="0039479A"/>
    <w:rsid w:val="00394B90"/>
    <w:rsid w:val="0039578A"/>
    <w:rsid w:val="00395D20"/>
    <w:rsid w:val="00395D28"/>
    <w:rsid w:val="003962B1"/>
    <w:rsid w:val="003962EA"/>
    <w:rsid w:val="00396F81"/>
    <w:rsid w:val="003972DA"/>
    <w:rsid w:val="0039753D"/>
    <w:rsid w:val="003976A2"/>
    <w:rsid w:val="003978EB"/>
    <w:rsid w:val="00397951"/>
    <w:rsid w:val="00397BEA"/>
    <w:rsid w:val="003A073D"/>
    <w:rsid w:val="003A0CDC"/>
    <w:rsid w:val="003A0D57"/>
    <w:rsid w:val="003A0DD2"/>
    <w:rsid w:val="003A0E08"/>
    <w:rsid w:val="003A1183"/>
    <w:rsid w:val="003A120F"/>
    <w:rsid w:val="003A1A56"/>
    <w:rsid w:val="003A25AD"/>
    <w:rsid w:val="003A26E3"/>
    <w:rsid w:val="003A2CE5"/>
    <w:rsid w:val="003A2F62"/>
    <w:rsid w:val="003A2F68"/>
    <w:rsid w:val="003A33D8"/>
    <w:rsid w:val="003A3782"/>
    <w:rsid w:val="003A37C9"/>
    <w:rsid w:val="003A39AA"/>
    <w:rsid w:val="003A3C8A"/>
    <w:rsid w:val="003A3F32"/>
    <w:rsid w:val="003A40BC"/>
    <w:rsid w:val="003A4BD5"/>
    <w:rsid w:val="003A4BE5"/>
    <w:rsid w:val="003A4F03"/>
    <w:rsid w:val="003A4FAF"/>
    <w:rsid w:val="003A4FDF"/>
    <w:rsid w:val="003A5141"/>
    <w:rsid w:val="003A5689"/>
    <w:rsid w:val="003A56A2"/>
    <w:rsid w:val="003A6049"/>
    <w:rsid w:val="003A6B12"/>
    <w:rsid w:val="003A6D26"/>
    <w:rsid w:val="003A6E2C"/>
    <w:rsid w:val="003A715A"/>
    <w:rsid w:val="003A7594"/>
    <w:rsid w:val="003A764C"/>
    <w:rsid w:val="003A7659"/>
    <w:rsid w:val="003A7B3A"/>
    <w:rsid w:val="003A7D64"/>
    <w:rsid w:val="003B0061"/>
    <w:rsid w:val="003B014D"/>
    <w:rsid w:val="003B0537"/>
    <w:rsid w:val="003B0D57"/>
    <w:rsid w:val="003B0E1F"/>
    <w:rsid w:val="003B169B"/>
    <w:rsid w:val="003B1A50"/>
    <w:rsid w:val="003B23DC"/>
    <w:rsid w:val="003B2A0B"/>
    <w:rsid w:val="003B2C6B"/>
    <w:rsid w:val="003B2E04"/>
    <w:rsid w:val="003B2FCA"/>
    <w:rsid w:val="003B36CB"/>
    <w:rsid w:val="003B37EE"/>
    <w:rsid w:val="003B38A0"/>
    <w:rsid w:val="003B3A4F"/>
    <w:rsid w:val="003B3C7C"/>
    <w:rsid w:val="003B3DE4"/>
    <w:rsid w:val="003B3F00"/>
    <w:rsid w:val="003B442D"/>
    <w:rsid w:val="003B4BAE"/>
    <w:rsid w:val="003B4DE1"/>
    <w:rsid w:val="003B4F0F"/>
    <w:rsid w:val="003B4F75"/>
    <w:rsid w:val="003B5210"/>
    <w:rsid w:val="003B5364"/>
    <w:rsid w:val="003B5410"/>
    <w:rsid w:val="003B55B3"/>
    <w:rsid w:val="003B56ED"/>
    <w:rsid w:val="003B5A9C"/>
    <w:rsid w:val="003B5BC4"/>
    <w:rsid w:val="003B5E5E"/>
    <w:rsid w:val="003B5F5B"/>
    <w:rsid w:val="003B60A5"/>
    <w:rsid w:val="003B61F9"/>
    <w:rsid w:val="003B6275"/>
    <w:rsid w:val="003B6519"/>
    <w:rsid w:val="003B6568"/>
    <w:rsid w:val="003B6AC6"/>
    <w:rsid w:val="003B755C"/>
    <w:rsid w:val="003B7E25"/>
    <w:rsid w:val="003B7ECB"/>
    <w:rsid w:val="003C010A"/>
    <w:rsid w:val="003C0C11"/>
    <w:rsid w:val="003C12D1"/>
    <w:rsid w:val="003C12E3"/>
    <w:rsid w:val="003C1324"/>
    <w:rsid w:val="003C2148"/>
    <w:rsid w:val="003C2320"/>
    <w:rsid w:val="003C236F"/>
    <w:rsid w:val="003C27A5"/>
    <w:rsid w:val="003C2BDF"/>
    <w:rsid w:val="003C2DC1"/>
    <w:rsid w:val="003C2E43"/>
    <w:rsid w:val="003C2F9E"/>
    <w:rsid w:val="003C32C5"/>
    <w:rsid w:val="003C3604"/>
    <w:rsid w:val="003C3631"/>
    <w:rsid w:val="003C39C7"/>
    <w:rsid w:val="003C3AAC"/>
    <w:rsid w:val="003C404C"/>
    <w:rsid w:val="003C41CE"/>
    <w:rsid w:val="003C44AD"/>
    <w:rsid w:val="003C4624"/>
    <w:rsid w:val="003C49A2"/>
    <w:rsid w:val="003C4C7E"/>
    <w:rsid w:val="003C4FFE"/>
    <w:rsid w:val="003C5049"/>
    <w:rsid w:val="003C558A"/>
    <w:rsid w:val="003C55C6"/>
    <w:rsid w:val="003C55E3"/>
    <w:rsid w:val="003C5C3F"/>
    <w:rsid w:val="003C5E38"/>
    <w:rsid w:val="003C6397"/>
    <w:rsid w:val="003C6399"/>
    <w:rsid w:val="003C63C2"/>
    <w:rsid w:val="003C652A"/>
    <w:rsid w:val="003C665E"/>
    <w:rsid w:val="003C69FB"/>
    <w:rsid w:val="003C71DE"/>
    <w:rsid w:val="003C7209"/>
    <w:rsid w:val="003C730A"/>
    <w:rsid w:val="003C7384"/>
    <w:rsid w:val="003C767E"/>
    <w:rsid w:val="003C78AA"/>
    <w:rsid w:val="003C79C7"/>
    <w:rsid w:val="003C7B15"/>
    <w:rsid w:val="003C7DAE"/>
    <w:rsid w:val="003C7F87"/>
    <w:rsid w:val="003C7FC2"/>
    <w:rsid w:val="003D000D"/>
    <w:rsid w:val="003D006D"/>
    <w:rsid w:val="003D033A"/>
    <w:rsid w:val="003D051B"/>
    <w:rsid w:val="003D0A61"/>
    <w:rsid w:val="003D0FB8"/>
    <w:rsid w:val="003D1616"/>
    <w:rsid w:val="003D16EF"/>
    <w:rsid w:val="003D2023"/>
    <w:rsid w:val="003D21E7"/>
    <w:rsid w:val="003D23FD"/>
    <w:rsid w:val="003D2477"/>
    <w:rsid w:val="003D2826"/>
    <w:rsid w:val="003D2915"/>
    <w:rsid w:val="003D298E"/>
    <w:rsid w:val="003D2E40"/>
    <w:rsid w:val="003D2ECA"/>
    <w:rsid w:val="003D3467"/>
    <w:rsid w:val="003D3668"/>
    <w:rsid w:val="003D3A89"/>
    <w:rsid w:val="003D3AF3"/>
    <w:rsid w:val="003D42F1"/>
    <w:rsid w:val="003D4486"/>
    <w:rsid w:val="003D4D1D"/>
    <w:rsid w:val="003D4EDC"/>
    <w:rsid w:val="003D4FF9"/>
    <w:rsid w:val="003D507F"/>
    <w:rsid w:val="003D5530"/>
    <w:rsid w:val="003D560C"/>
    <w:rsid w:val="003D5961"/>
    <w:rsid w:val="003D5A56"/>
    <w:rsid w:val="003D5CE8"/>
    <w:rsid w:val="003D5E09"/>
    <w:rsid w:val="003D64A6"/>
    <w:rsid w:val="003D6C63"/>
    <w:rsid w:val="003D6D36"/>
    <w:rsid w:val="003D6ED6"/>
    <w:rsid w:val="003D7028"/>
    <w:rsid w:val="003D751B"/>
    <w:rsid w:val="003D76E5"/>
    <w:rsid w:val="003D781E"/>
    <w:rsid w:val="003D7A02"/>
    <w:rsid w:val="003D7C32"/>
    <w:rsid w:val="003D7C90"/>
    <w:rsid w:val="003E06F6"/>
    <w:rsid w:val="003E079F"/>
    <w:rsid w:val="003E097D"/>
    <w:rsid w:val="003E0FBF"/>
    <w:rsid w:val="003E10D0"/>
    <w:rsid w:val="003E1131"/>
    <w:rsid w:val="003E137F"/>
    <w:rsid w:val="003E14C9"/>
    <w:rsid w:val="003E18C3"/>
    <w:rsid w:val="003E26ED"/>
    <w:rsid w:val="003E2A10"/>
    <w:rsid w:val="003E2D28"/>
    <w:rsid w:val="003E2FF0"/>
    <w:rsid w:val="003E337B"/>
    <w:rsid w:val="003E3AB7"/>
    <w:rsid w:val="003E4923"/>
    <w:rsid w:val="003E4D74"/>
    <w:rsid w:val="003E51A4"/>
    <w:rsid w:val="003E5319"/>
    <w:rsid w:val="003E58C2"/>
    <w:rsid w:val="003E5916"/>
    <w:rsid w:val="003E5A76"/>
    <w:rsid w:val="003E6376"/>
    <w:rsid w:val="003E6687"/>
    <w:rsid w:val="003E6B27"/>
    <w:rsid w:val="003E6B9D"/>
    <w:rsid w:val="003E72B1"/>
    <w:rsid w:val="003E764F"/>
    <w:rsid w:val="003E7A12"/>
    <w:rsid w:val="003E7DC6"/>
    <w:rsid w:val="003F00DF"/>
    <w:rsid w:val="003F02CB"/>
    <w:rsid w:val="003F0522"/>
    <w:rsid w:val="003F0FD9"/>
    <w:rsid w:val="003F12EC"/>
    <w:rsid w:val="003F14FD"/>
    <w:rsid w:val="003F172A"/>
    <w:rsid w:val="003F1C3D"/>
    <w:rsid w:val="003F1FDA"/>
    <w:rsid w:val="003F23D3"/>
    <w:rsid w:val="003F25E9"/>
    <w:rsid w:val="003F2602"/>
    <w:rsid w:val="003F2678"/>
    <w:rsid w:val="003F2797"/>
    <w:rsid w:val="003F2FAE"/>
    <w:rsid w:val="003F33C3"/>
    <w:rsid w:val="003F37AB"/>
    <w:rsid w:val="003F387F"/>
    <w:rsid w:val="003F3ABA"/>
    <w:rsid w:val="003F3E96"/>
    <w:rsid w:val="003F452D"/>
    <w:rsid w:val="003F45D6"/>
    <w:rsid w:val="003F4BFE"/>
    <w:rsid w:val="003F4F25"/>
    <w:rsid w:val="003F5BE6"/>
    <w:rsid w:val="003F60FD"/>
    <w:rsid w:val="003F6D16"/>
    <w:rsid w:val="003F6D25"/>
    <w:rsid w:val="003F6F5A"/>
    <w:rsid w:val="003F7603"/>
    <w:rsid w:val="003F788F"/>
    <w:rsid w:val="003F797D"/>
    <w:rsid w:val="003F7A45"/>
    <w:rsid w:val="0040000C"/>
    <w:rsid w:val="004001E8"/>
    <w:rsid w:val="00400302"/>
    <w:rsid w:val="004009D9"/>
    <w:rsid w:val="00400F52"/>
    <w:rsid w:val="00401764"/>
    <w:rsid w:val="0040189C"/>
    <w:rsid w:val="00401C21"/>
    <w:rsid w:val="00402A89"/>
    <w:rsid w:val="00403293"/>
    <w:rsid w:val="0040338B"/>
    <w:rsid w:val="004035DD"/>
    <w:rsid w:val="004038B3"/>
    <w:rsid w:val="0040398A"/>
    <w:rsid w:val="00403CA0"/>
    <w:rsid w:val="00403E2F"/>
    <w:rsid w:val="00404BDC"/>
    <w:rsid w:val="00404D7B"/>
    <w:rsid w:val="00404E4D"/>
    <w:rsid w:val="00405871"/>
    <w:rsid w:val="00405CD9"/>
    <w:rsid w:val="0040653F"/>
    <w:rsid w:val="00406651"/>
    <w:rsid w:val="00406703"/>
    <w:rsid w:val="00406B25"/>
    <w:rsid w:val="00406BCD"/>
    <w:rsid w:val="0040736D"/>
    <w:rsid w:val="00407382"/>
    <w:rsid w:val="0040745B"/>
    <w:rsid w:val="0040758D"/>
    <w:rsid w:val="00407E97"/>
    <w:rsid w:val="00410065"/>
    <w:rsid w:val="00411FC4"/>
    <w:rsid w:val="0041234E"/>
    <w:rsid w:val="0041253D"/>
    <w:rsid w:val="00412813"/>
    <w:rsid w:val="004129C0"/>
    <w:rsid w:val="00412EE0"/>
    <w:rsid w:val="0041338E"/>
    <w:rsid w:val="004133C3"/>
    <w:rsid w:val="00413660"/>
    <w:rsid w:val="004137F1"/>
    <w:rsid w:val="0041384B"/>
    <w:rsid w:val="004138A4"/>
    <w:rsid w:val="00414055"/>
    <w:rsid w:val="004143E8"/>
    <w:rsid w:val="004144CF"/>
    <w:rsid w:val="0041463A"/>
    <w:rsid w:val="0041476E"/>
    <w:rsid w:val="00414823"/>
    <w:rsid w:val="004152CD"/>
    <w:rsid w:val="0041555C"/>
    <w:rsid w:val="00415A63"/>
    <w:rsid w:val="00415AC4"/>
    <w:rsid w:val="00415ED1"/>
    <w:rsid w:val="0041620C"/>
    <w:rsid w:val="00416BBD"/>
    <w:rsid w:val="00416C06"/>
    <w:rsid w:val="00416C36"/>
    <w:rsid w:val="004172A8"/>
    <w:rsid w:val="0041733C"/>
    <w:rsid w:val="0041772B"/>
    <w:rsid w:val="004179DB"/>
    <w:rsid w:val="004179EA"/>
    <w:rsid w:val="00417D4E"/>
    <w:rsid w:val="004200C3"/>
    <w:rsid w:val="00420212"/>
    <w:rsid w:val="00420865"/>
    <w:rsid w:val="00420A55"/>
    <w:rsid w:val="00420A5C"/>
    <w:rsid w:val="00420E60"/>
    <w:rsid w:val="0042178F"/>
    <w:rsid w:val="0042190C"/>
    <w:rsid w:val="004219A7"/>
    <w:rsid w:val="00422049"/>
    <w:rsid w:val="00422232"/>
    <w:rsid w:val="0042226E"/>
    <w:rsid w:val="004222F3"/>
    <w:rsid w:val="00423192"/>
    <w:rsid w:val="00423816"/>
    <w:rsid w:val="00423B70"/>
    <w:rsid w:val="00423BE9"/>
    <w:rsid w:val="00423D75"/>
    <w:rsid w:val="0042453A"/>
    <w:rsid w:val="0042465E"/>
    <w:rsid w:val="00424683"/>
    <w:rsid w:val="004246C9"/>
    <w:rsid w:val="00424B98"/>
    <w:rsid w:val="00424B9C"/>
    <w:rsid w:val="00425006"/>
    <w:rsid w:val="004255E5"/>
    <w:rsid w:val="00425DEC"/>
    <w:rsid w:val="004263BC"/>
    <w:rsid w:val="004270FE"/>
    <w:rsid w:val="0042793F"/>
    <w:rsid w:val="00427D7C"/>
    <w:rsid w:val="00430378"/>
    <w:rsid w:val="00430858"/>
    <w:rsid w:val="00430BD9"/>
    <w:rsid w:val="0043106B"/>
    <w:rsid w:val="0043119A"/>
    <w:rsid w:val="004312B6"/>
    <w:rsid w:val="0043178A"/>
    <w:rsid w:val="004317C7"/>
    <w:rsid w:val="004318A2"/>
    <w:rsid w:val="00431A22"/>
    <w:rsid w:val="0043230A"/>
    <w:rsid w:val="0043233C"/>
    <w:rsid w:val="00432422"/>
    <w:rsid w:val="004324FB"/>
    <w:rsid w:val="00432B97"/>
    <w:rsid w:val="004336E6"/>
    <w:rsid w:val="004337C6"/>
    <w:rsid w:val="0043393D"/>
    <w:rsid w:val="00433D25"/>
    <w:rsid w:val="00433D3E"/>
    <w:rsid w:val="00433F16"/>
    <w:rsid w:val="00434140"/>
    <w:rsid w:val="00434275"/>
    <w:rsid w:val="004346A9"/>
    <w:rsid w:val="00434904"/>
    <w:rsid w:val="00434B5B"/>
    <w:rsid w:val="00434B6E"/>
    <w:rsid w:val="00434EAB"/>
    <w:rsid w:val="00435761"/>
    <w:rsid w:val="00435AD6"/>
    <w:rsid w:val="004362B0"/>
    <w:rsid w:val="00436464"/>
    <w:rsid w:val="0043651B"/>
    <w:rsid w:val="004367C1"/>
    <w:rsid w:val="00436EBA"/>
    <w:rsid w:val="00436F1D"/>
    <w:rsid w:val="00436F32"/>
    <w:rsid w:val="00436F50"/>
    <w:rsid w:val="004373A2"/>
    <w:rsid w:val="0043769C"/>
    <w:rsid w:val="004376DB"/>
    <w:rsid w:val="004376EE"/>
    <w:rsid w:val="00437764"/>
    <w:rsid w:val="00437925"/>
    <w:rsid w:val="00437AA7"/>
    <w:rsid w:val="00437ABF"/>
    <w:rsid w:val="00437C42"/>
    <w:rsid w:val="00437E05"/>
    <w:rsid w:val="00440608"/>
    <w:rsid w:val="004406EE"/>
    <w:rsid w:val="00440855"/>
    <w:rsid w:val="00440F2E"/>
    <w:rsid w:val="00441251"/>
    <w:rsid w:val="00441324"/>
    <w:rsid w:val="004413AD"/>
    <w:rsid w:val="004414B8"/>
    <w:rsid w:val="0044178A"/>
    <w:rsid w:val="004418A6"/>
    <w:rsid w:val="00441A2F"/>
    <w:rsid w:val="00441F70"/>
    <w:rsid w:val="004426B8"/>
    <w:rsid w:val="004428CE"/>
    <w:rsid w:val="00442EC7"/>
    <w:rsid w:val="00442F62"/>
    <w:rsid w:val="00443120"/>
    <w:rsid w:val="00443D7E"/>
    <w:rsid w:val="00443E53"/>
    <w:rsid w:val="00443E6D"/>
    <w:rsid w:val="0044411D"/>
    <w:rsid w:val="004442B5"/>
    <w:rsid w:val="00444A3B"/>
    <w:rsid w:val="00444C15"/>
    <w:rsid w:val="00444DE6"/>
    <w:rsid w:val="00444FE2"/>
    <w:rsid w:val="00445828"/>
    <w:rsid w:val="00445954"/>
    <w:rsid w:val="00445DC2"/>
    <w:rsid w:val="00445F43"/>
    <w:rsid w:val="004467D3"/>
    <w:rsid w:val="00446B0F"/>
    <w:rsid w:val="00446DC5"/>
    <w:rsid w:val="00446E09"/>
    <w:rsid w:val="00446EBD"/>
    <w:rsid w:val="00447030"/>
    <w:rsid w:val="00447884"/>
    <w:rsid w:val="00447B74"/>
    <w:rsid w:val="00447E6B"/>
    <w:rsid w:val="00447EB2"/>
    <w:rsid w:val="00447F8E"/>
    <w:rsid w:val="00450AEA"/>
    <w:rsid w:val="00450FDD"/>
    <w:rsid w:val="0045175C"/>
    <w:rsid w:val="00451C3D"/>
    <w:rsid w:val="00452298"/>
    <w:rsid w:val="004526DA"/>
    <w:rsid w:val="00452C33"/>
    <w:rsid w:val="00452C7B"/>
    <w:rsid w:val="00452CD6"/>
    <w:rsid w:val="0045334B"/>
    <w:rsid w:val="0045456C"/>
    <w:rsid w:val="004545B7"/>
    <w:rsid w:val="0045466E"/>
    <w:rsid w:val="00454FF5"/>
    <w:rsid w:val="004551A9"/>
    <w:rsid w:val="0045595B"/>
    <w:rsid w:val="004559AE"/>
    <w:rsid w:val="00455D79"/>
    <w:rsid w:val="00455F0E"/>
    <w:rsid w:val="00456453"/>
    <w:rsid w:val="00456B6B"/>
    <w:rsid w:val="00456BE5"/>
    <w:rsid w:val="00456DFE"/>
    <w:rsid w:val="004573E5"/>
    <w:rsid w:val="00457544"/>
    <w:rsid w:val="00457999"/>
    <w:rsid w:val="00457A73"/>
    <w:rsid w:val="00457E4A"/>
    <w:rsid w:val="00457F43"/>
    <w:rsid w:val="00460642"/>
    <w:rsid w:val="00460A31"/>
    <w:rsid w:val="00460B3B"/>
    <w:rsid w:val="00460B68"/>
    <w:rsid w:val="00461CC8"/>
    <w:rsid w:val="00462038"/>
    <w:rsid w:val="0046286D"/>
    <w:rsid w:val="004629AB"/>
    <w:rsid w:val="00463171"/>
    <w:rsid w:val="004633E0"/>
    <w:rsid w:val="0046387D"/>
    <w:rsid w:val="004638DB"/>
    <w:rsid w:val="004642B4"/>
    <w:rsid w:val="0046486E"/>
    <w:rsid w:val="00464A12"/>
    <w:rsid w:val="00464A42"/>
    <w:rsid w:val="00464CAE"/>
    <w:rsid w:val="00464E42"/>
    <w:rsid w:val="0046502C"/>
    <w:rsid w:val="004650E4"/>
    <w:rsid w:val="004655C6"/>
    <w:rsid w:val="00465634"/>
    <w:rsid w:val="004656BF"/>
    <w:rsid w:val="00465D17"/>
    <w:rsid w:val="004664DB"/>
    <w:rsid w:val="0046658D"/>
    <w:rsid w:val="00466FB5"/>
    <w:rsid w:val="004703E1"/>
    <w:rsid w:val="004705BE"/>
    <w:rsid w:val="004709B2"/>
    <w:rsid w:val="00470BAF"/>
    <w:rsid w:val="00470C96"/>
    <w:rsid w:val="00470D00"/>
    <w:rsid w:val="00471B00"/>
    <w:rsid w:val="00472AE1"/>
    <w:rsid w:val="00472EA9"/>
    <w:rsid w:val="00473157"/>
    <w:rsid w:val="00473176"/>
    <w:rsid w:val="004734B6"/>
    <w:rsid w:val="004734C5"/>
    <w:rsid w:val="0047364B"/>
    <w:rsid w:val="0047374E"/>
    <w:rsid w:val="00473B3D"/>
    <w:rsid w:val="00473E7E"/>
    <w:rsid w:val="00473E90"/>
    <w:rsid w:val="00473EBB"/>
    <w:rsid w:val="004741F7"/>
    <w:rsid w:val="004742BB"/>
    <w:rsid w:val="004744DB"/>
    <w:rsid w:val="0047477B"/>
    <w:rsid w:val="0047497B"/>
    <w:rsid w:val="00474C6B"/>
    <w:rsid w:val="00475321"/>
    <w:rsid w:val="0047565B"/>
    <w:rsid w:val="0047634F"/>
    <w:rsid w:val="00476358"/>
    <w:rsid w:val="00476B07"/>
    <w:rsid w:val="00476C35"/>
    <w:rsid w:val="00476FD3"/>
    <w:rsid w:val="00477808"/>
    <w:rsid w:val="004779D0"/>
    <w:rsid w:val="00477C19"/>
    <w:rsid w:val="00477DBB"/>
    <w:rsid w:val="004801E0"/>
    <w:rsid w:val="00480BB7"/>
    <w:rsid w:val="00480EE3"/>
    <w:rsid w:val="004812FB"/>
    <w:rsid w:val="004816CA"/>
    <w:rsid w:val="004817BE"/>
    <w:rsid w:val="00481E5F"/>
    <w:rsid w:val="00481E92"/>
    <w:rsid w:val="004826AF"/>
    <w:rsid w:val="0048272F"/>
    <w:rsid w:val="00482D54"/>
    <w:rsid w:val="00483271"/>
    <w:rsid w:val="004835C2"/>
    <w:rsid w:val="00483859"/>
    <w:rsid w:val="00483B46"/>
    <w:rsid w:val="00483D3B"/>
    <w:rsid w:val="004845F1"/>
    <w:rsid w:val="004850B3"/>
    <w:rsid w:val="004857E7"/>
    <w:rsid w:val="00486130"/>
    <w:rsid w:val="004865A8"/>
    <w:rsid w:val="00486ADC"/>
    <w:rsid w:val="00486B96"/>
    <w:rsid w:val="00486C58"/>
    <w:rsid w:val="0048777D"/>
    <w:rsid w:val="004879AF"/>
    <w:rsid w:val="00487D18"/>
    <w:rsid w:val="00490038"/>
    <w:rsid w:val="00490059"/>
    <w:rsid w:val="00490162"/>
    <w:rsid w:val="004904F7"/>
    <w:rsid w:val="00490A5D"/>
    <w:rsid w:val="00491030"/>
    <w:rsid w:val="004910AC"/>
    <w:rsid w:val="004914D8"/>
    <w:rsid w:val="004919E8"/>
    <w:rsid w:val="00491E18"/>
    <w:rsid w:val="00491F91"/>
    <w:rsid w:val="00491FF6"/>
    <w:rsid w:val="00492145"/>
    <w:rsid w:val="004928CE"/>
    <w:rsid w:val="00492A2F"/>
    <w:rsid w:val="00492BA1"/>
    <w:rsid w:val="00492D7E"/>
    <w:rsid w:val="00493540"/>
    <w:rsid w:val="00493607"/>
    <w:rsid w:val="004939E4"/>
    <w:rsid w:val="00493D36"/>
    <w:rsid w:val="00493E35"/>
    <w:rsid w:val="00494AD6"/>
    <w:rsid w:val="00495120"/>
    <w:rsid w:val="00495E67"/>
    <w:rsid w:val="004963F9"/>
    <w:rsid w:val="0049698A"/>
    <w:rsid w:val="00496B4E"/>
    <w:rsid w:val="00496DE2"/>
    <w:rsid w:val="00497448"/>
    <w:rsid w:val="004975AA"/>
    <w:rsid w:val="00497935"/>
    <w:rsid w:val="004A034A"/>
    <w:rsid w:val="004A0476"/>
    <w:rsid w:val="004A07D7"/>
    <w:rsid w:val="004A0A69"/>
    <w:rsid w:val="004A0F9E"/>
    <w:rsid w:val="004A10D4"/>
    <w:rsid w:val="004A1130"/>
    <w:rsid w:val="004A1219"/>
    <w:rsid w:val="004A1A77"/>
    <w:rsid w:val="004A1DAA"/>
    <w:rsid w:val="004A23D2"/>
    <w:rsid w:val="004A25A0"/>
    <w:rsid w:val="004A285D"/>
    <w:rsid w:val="004A2D1D"/>
    <w:rsid w:val="004A302B"/>
    <w:rsid w:val="004A3242"/>
    <w:rsid w:val="004A3838"/>
    <w:rsid w:val="004A4467"/>
    <w:rsid w:val="004A4957"/>
    <w:rsid w:val="004A5258"/>
    <w:rsid w:val="004A5467"/>
    <w:rsid w:val="004A5AE2"/>
    <w:rsid w:val="004A5BB1"/>
    <w:rsid w:val="004A5CB1"/>
    <w:rsid w:val="004A5E3E"/>
    <w:rsid w:val="004A5EAA"/>
    <w:rsid w:val="004A638D"/>
    <w:rsid w:val="004A64EC"/>
    <w:rsid w:val="004A695F"/>
    <w:rsid w:val="004A697B"/>
    <w:rsid w:val="004A6A35"/>
    <w:rsid w:val="004A6EA6"/>
    <w:rsid w:val="004A7550"/>
    <w:rsid w:val="004A7966"/>
    <w:rsid w:val="004A7A54"/>
    <w:rsid w:val="004B0239"/>
    <w:rsid w:val="004B0379"/>
    <w:rsid w:val="004B0A69"/>
    <w:rsid w:val="004B0D1E"/>
    <w:rsid w:val="004B0E2E"/>
    <w:rsid w:val="004B1604"/>
    <w:rsid w:val="004B1701"/>
    <w:rsid w:val="004B1804"/>
    <w:rsid w:val="004B18CC"/>
    <w:rsid w:val="004B2609"/>
    <w:rsid w:val="004B2722"/>
    <w:rsid w:val="004B2F3D"/>
    <w:rsid w:val="004B32A0"/>
    <w:rsid w:val="004B36C1"/>
    <w:rsid w:val="004B3A60"/>
    <w:rsid w:val="004B3FCD"/>
    <w:rsid w:val="004B4C62"/>
    <w:rsid w:val="004B4D15"/>
    <w:rsid w:val="004B5064"/>
    <w:rsid w:val="004B5078"/>
    <w:rsid w:val="004B5096"/>
    <w:rsid w:val="004B51DA"/>
    <w:rsid w:val="004B54EF"/>
    <w:rsid w:val="004B592E"/>
    <w:rsid w:val="004B5CE2"/>
    <w:rsid w:val="004B5DAC"/>
    <w:rsid w:val="004B6147"/>
    <w:rsid w:val="004B6184"/>
    <w:rsid w:val="004B6634"/>
    <w:rsid w:val="004B67BB"/>
    <w:rsid w:val="004B67F1"/>
    <w:rsid w:val="004B6812"/>
    <w:rsid w:val="004B7293"/>
    <w:rsid w:val="004B7DD1"/>
    <w:rsid w:val="004C0096"/>
    <w:rsid w:val="004C00A3"/>
    <w:rsid w:val="004C00F4"/>
    <w:rsid w:val="004C037B"/>
    <w:rsid w:val="004C082A"/>
    <w:rsid w:val="004C0830"/>
    <w:rsid w:val="004C085B"/>
    <w:rsid w:val="004C0BDA"/>
    <w:rsid w:val="004C1472"/>
    <w:rsid w:val="004C165E"/>
    <w:rsid w:val="004C1BF9"/>
    <w:rsid w:val="004C1C3E"/>
    <w:rsid w:val="004C23BD"/>
    <w:rsid w:val="004C2498"/>
    <w:rsid w:val="004C2E4E"/>
    <w:rsid w:val="004C331E"/>
    <w:rsid w:val="004C333F"/>
    <w:rsid w:val="004C33BC"/>
    <w:rsid w:val="004C3D19"/>
    <w:rsid w:val="004C3FC0"/>
    <w:rsid w:val="004C42C9"/>
    <w:rsid w:val="004C4D54"/>
    <w:rsid w:val="004C5B42"/>
    <w:rsid w:val="004C5ECB"/>
    <w:rsid w:val="004C6672"/>
    <w:rsid w:val="004C68B6"/>
    <w:rsid w:val="004C74F1"/>
    <w:rsid w:val="004D039F"/>
    <w:rsid w:val="004D04F6"/>
    <w:rsid w:val="004D0ED5"/>
    <w:rsid w:val="004D12A8"/>
    <w:rsid w:val="004D1906"/>
    <w:rsid w:val="004D1C16"/>
    <w:rsid w:val="004D203B"/>
    <w:rsid w:val="004D240F"/>
    <w:rsid w:val="004D2434"/>
    <w:rsid w:val="004D2710"/>
    <w:rsid w:val="004D29CC"/>
    <w:rsid w:val="004D2AB8"/>
    <w:rsid w:val="004D2D7A"/>
    <w:rsid w:val="004D37B3"/>
    <w:rsid w:val="004D391B"/>
    <w:rsid w:val="004D3E11"/>
    <w:rsid w:val="004D4043"/>
    <w:rsid w:val="004D4304"/>
    <w:rsid w:val="004D470B"/>
    <w:rsid w:val="004D4CD1"/>
    <w:rsid w:val="004D4E73"/>
    <w:rsid w:val="004D503B"/>
    <w:rsid w:val="004D50AB"/>
    <w:rsid w:val="004D514C"/>
    <w:rsid w:val="004D524E"/>
    <w:rsid w:val="004D5266"/>
    <w:rsid w:val="004D530E"/>
    <w:rsid w:val="004D54B7"/>
    <w:rsid w:val="004D60DF"/>
    <w:rsid w:val="004D6786"/>
    <w:rsid w:val="004D69E1"/>
    <w:rsid w:val="004D7869"/>
    <w:rsid w:val="004D7EE4"/>
    <w:rsid w:val="004D7F18"/>
    <w:rsid w:val="004E0137"/>
    <w:rsid w:val="004E11CF"/>
    <w:rsid w:val="004E121B"/>
    <w:rsid w:val="004E18E7"/>
    <w:rsid w:val="004E1E29"/>
    <w:rsid w:val="004E1ECE"/>
    <w:rsid w:val="004E1EF5"/>
    <w:rsid w:val="004E23F7"/>
    <w:rsid w:val="004E24D1"/>
    <w:rsid w:val="004E2A73"/>
    <w:rsid w:val="004E2B5D"/>
    <w:rsid w:val="004E3268"/>
    <w:rsid w:val="004E33F8"/>
    <w:rsid w:val="004E368A"/>
    <w:rsid w:val="004E3801"/>
    <w:rsid w:val="004E39C9"/>
    <w:rsid w:val="004E417F"/>
    <w:rsid w:val="004E41A1"/>
    <w:rsid w:val="004E4391"/>
    <w:rsid w:val="004E46F5"/>
    <w:rsid w:val="004E4899"/>
    <w:rsid w:val="004E4CA8"/>
    <w:rsid w:val="004E4D78"/>
    <w:rsid w:val="004E4E20"/>
    <w:rsid w:val="004E500B"/>
    <w:rsid w:val="004E5153"/>
    <w:rsid w:val="004E5C65"/>
    <w:rsid w:val="004E687B"/>
    <w:rsid w:val="004E70F3"/>
    <w:rsid w:val="004E713A"/>
    <w:rsid w:val="004E7649"/>
    <w:rsid w:val="004E79EC"/>
    <w:rsid w:val="004E7AD7"/>
    <w:rsid w:val="004E7B2E"/>
    <w:rsid w:val="004E7BDD"/>
    <w:rsid w:val="004F01D5"/>
    <w:rsid w:val="004F0439"/>
    <w:rsid w:val="004F0738"/>
    <w:rsid w:val="004F0A17"/>
    <w:rsid w:val="004F115C"/>
    <w:rsid w:val="004F13A0"/>
    <w:rsid w:val="004F17D0"/>
    <w:rsid w:val="004F1BB6"/>
    <w:rsid w:val="004F2044"/>
    <w:rsid w:val="004F20DC"/>
    <w:rsid w:val="004F23BA"/>
    <w:rsid w:val="004F33A6"/>
    <w:rsid w:val="004F35B2"/>
    <w:rsid w:val="004F35D6"/>
    <w:rsid w:val="004F3982"/>
    <w:rsid w:val="004F3A47"/>
    <w:rsid w:val="004F3AE1"/>
    <w:rsid w:val="004F3C71"/>
    <w:rsid w:val="004F3CDC"/>
    <w:rsid w:val="004F4537"/>
    <w:rsid w:val="004F4797"/>
    <w:rsid w:val="004F5068"/>
    <w:rsid w:val="004F51E9"/>
    <w:rsid w:val="004F54F5"/>
    <w:rsid w:val="004F551A"/>
    <w:rsid w:val="004F5C06"/>
    <w:rsid w:val="004F5FCC"/>
    <w:rsid w:val="004F63CD"/>
    <w:rsid w:val="004F63D5"/>
    <w:rsid w:val="004F64E4"/>
    <w:rsid w:val="004F662E"/>
    <w:rsid w:val="004F6A3A"/>
    <w:rsid w:val="004F6D13"/>
    <w:rsid w:val="004F6D20"/>
    <w:rsid w:val="004F6E61"/>
    <w:rsid w:val="004F71AC"/>
    <w:rsid w:val="004F75B7"/>
    <w:rsid w:val="004F783D"/>
    <w:rsid w:val="004F798E"/>
    <w:rsid w:val="005004E2"/>
    <w:rsid w:val="005009D1"/>
    <w:rsid w:val="005012E6"/>
    <w:rsid w:val="00501B88"/>
    <w:rsid w:val="0050246A"/>
    <w:rsid w:val="005025AD"/>
    <w:rsid w:val="005029B4"/>
    <w:rsid w:val="005033B1"/>
    <w:rsid w:val="0050348C"/>
    <w:rsid w:val="005039C8"/>
    <w:rsid w:val="00503A7E"/>
    <w:rsid w:val="00503ADE"/>
    <w:rsid w:val="00503BA8"/>
    <w:rsid w:val="00504660"/>
    <w:rsid w:val="00504D6A"/>
    <w:rsid w:val="00505BCC"/>
    <w:rsid w:val="00505CD4"/>
    <w:rsid w:val="00506869"/>
    <w:rsid w:val="00506974"/>
    <w:rsid w:val="00506E52"/>
    <w:rsid w:val="005072C5"/>
    <w:rsid w:val="005078D1"/>
    <w:rsid w:val="00510003"/>
    <w:rsid w:val="00510174"/>
    <w:rsid w:val="005104D5"/>
    <w:rsid w:val="0051091F"/>
    <w:rsid w:val="00510AC0"/>
    <w:rsid w:val="00511028"/>
    <w:rsid w:val="0051115B"/>
    <w:rsid w:val="00511482"/>
    <w:rsid w:val="00511611"/>
    <w:rsid w:val="005117FB"/>
    <w:rsid w:val="00511A63"/>
    <w:rsid w:val="00511A77"/>
    <w:rsid w:val="00511AC5"/>
    <w:rsid w:val="00512305"/>
    <w:rsid w:val="00512844"/>
    <w:rsid w:val="00512B6C"/>
    <w:rsid w:val="00512C52"/>
    <w:rsid w:val="00512FFF"/>
    <w:rsid w:val="00513075"/>
    <w:rsid w:val="0051350B"/>
    <w:rsid w:val="00513592"/>
    <w:rsid w:val="00513851"/>
    <w:rsid w:val="00513D9B"/>
    <w:rsid w:val="00514152"/>
    <w:rsid w:val="0051436F"/>
    <w:rsid w:val="0051498D"/>
    <w:rsid w:val="00514D56"/>
    <w:rsid w:val="00514F71"/>
    <w:rsid w:val="005158B6"/>
    <w:rsid w:val="005158C0"/>
    <w:rsid w:val="005159D9"/>
    <w:rsid w:val="00515A24"/>
    <w:rsid w:val="00515DD3"/>
    <w:rsid w:val="00515E0B"/>
    <w:rsid w:val="00515ED5"/>
    <w:rsid w:val="00516523"/>
    <w:rsid w:val="005166CD"/>
    <w:rsid w:val="00516705"/>
    <w:rsid w:val="005169BC"/>
    <w:rsid w:val="00516B0E"/>
    <w:rsid w:val="00517A06"/>
    <w:rsid w:val="00517BD2"/>
    <w:rsid w:val="00517CD1"/>
    <w:rsid w:val="00517FA7"/>
    <w:rsid w:val="0052026F"/>
    <w:rsid w:val="005203C5"/>
    <w:rsid w:val="0052042A"/>
    <w:rsid w:val="00520AA1"/>
    <w:rsid w:val="005213EA"/>
    <w:rsid w:val="00521578"/>
    <w:rsid w:val="00521BA2"/>
    <w:rsid w:val="0052217F"/>
    <w:rsid w:val="00522204"/>
    <w:rsid w:val="0052237E"/>
    <w:rsid w:val="0052269D"/>
    <w:rsid w:val="00522E94"/>
    <w:rsid w:val="00522EEE"/>
    <w:rsid w:val="005231EC"/>
    <w:rsid w:val="005233DC"/>
    <w:rsid w:val="00523E4B"/>
    <w:rsid w:val="005241BC"/>
    <w:rsid w:val="00524468"/>
    <w:rsid w:val="00524EDE"/>
    <w:rsid w:val="0052534A"/>
    <w:rsid w:val="005255A6"/>
    <w:rsid w:val="005255B4"/>
    <w:rsid w:val="00525AC4"/>
    <w:rsid w:val="00525F12"/>
    <w:rsid w:val="00526648"/>
    <w:rsid w:val="005266F3"/>
    <w:rsid w:val="0052770D"/>
    <w:rsid w:val="00527EBA"/>
    <w:rsid w:val="00527FC1"/>
    <w:rsid w:val="00527FDA"/>
    <w:rsid w:val="00530135"/>
    <w:rsid w:val="005302FC"/>
    <w:rsid w:val="00530B8F"/>
    <w:rsid w:val="005315C8"/>
    <w:rsid w:val="005315E4"/>
    <w:rsid w:val="005316DB"/>
    <w:rsid w:val="00531966"/>
    <w:rsid w:val="00532066"/>
    <w:rsid w:val="005321A2"/>
    <w:rsid w:val="0053222A"/>
    <w:rsid w:val="00532396"/>
    <w:rsid w:val="00532417"/>
    <w:rsid w:val="00532418"/>
    <w:rsid w:val="0053254C"/>
    <w:rsid w:val="00532933"/>
    <w:rsid w:val="00532A29"/>
    <w:rsid w:val="00532BC4"/>
    <w:rsid w:val="00533380"/>
    <w:rsid w:val="005337F7"/>
    <w:rsid w:val="00533A0B"/>
    <w:rsid w:val="00533C23"/>
    <w:rsid w:val="00533C90"/>
    <w:rsid w:val="00534950"/>
    <w:rsid w:val="00534A0C"/>
    <w:rsid w:val="00534B75"/>
    <w:rsid w:val="00534E2E"/>
    <w:rsid w:val="005351E4"/>
    <w:rsid w:val="00535465"/>
    <w:rsid w:val="005355A6"/>
    <w:rsid w:val="0053561B"/>
    <w:rsid w:val="00535AC6"/>
    <w:rsid w:val="00535BD2"/>
    <w:rsid w:val="00535FD3"/>
    <w:rsid w:val="005360FC"/>
    <w:rsid w:val="005363F4"/>
    <w:rsid w:val="00536F72"/>
    <w:rsid w:val="00537690"/>
    <w:rsid w:val="00537A6F"/>
    <w:rsid w:val="00537B0E"/>
    <w:rsid w:val="00537EFF"/>
    <w:rsid w:val="00540565"/>
    <w:rsid w:val="00540AA0"/>
    <w:rsid w:val="0054113C"/>
    <w:rsid w:val="0054195C"/>
    <w:rsid w:val="00541BCD"/>
    <w:rsid w:val="00541CAA"/>
    <w:rsid w:val="00542522"/>
    <w:rsid w:val="00542AA2"/>
    <w:rsid w:val="00542B06"/>
    <w:rsid w:val="00542B7D"/>
    <w:rsid w:val="00542BCC"/>
    <w:rsid w:val="00542E14"/>
    <w:rsid w:val="00542FA8"/>
    <w:rsid w:val="00543058"/>
    <w:rsid w:val="00543BA1"/>
    <w:rsid w:val="00543FFA"/>
    <w:rsid w:val="00544148"/>
    <w:rsid w:val="00544398"/>
    <w:rsid w:val="0054463A"/>
    <w:rsid w:val="00544845"/>
    <w:rsid w:val="005448C9"/>
    <w:rsid w:val="00544B14"/>
    <w:rsid w:val="0054518F"/>
    <w:rsid w:val="00545300"/>
    <w:rsid w:val="0054571A"/>
    <w:rsid w:val="005457D4"/>
    <w:rsid w:val="0054591C"/>
    <w:rsid w:val="00545B9B"/>
    <w:rsid w:val="00545CBC"/>
    <w:rsid w:val="00545DF4"/>
    <w:rsid w:val="00545FB6"/>
    <w:rsid w:val="005463A2"/>
    <w:rsid w:val="0054677C"/>
    <w:rsid w:val="005469A6"/>
    <w:rsid w:val="00546B77"/>
    <w:rsid w:val="00547AA9"/>
    <w:rsid w:val="00550112"/>
    <w:rsid w:val="0055100A"/>
    <w:rsid w:val="005516B3"/>
    <w:rsid w:val="00551800"/>
    <w:rsid w:val="00551AE2"/>
    <w:rsid w:val="00551B81"/>
    <w:rsid w:val="00551C21"/>
    <w:rsid w:val="00552108"/>
    <w:rsid w:val="0055250F"/>
    <w:rsid w:val="00552BF6"/>
    <w:rsid w:val="005534FA"/>
    <w:rsid w:val="00553CA4"/>
    <w:rsid w:val="00554897"/>
    <w:rsid w:val="005550CA"/>
    <w:rsid w:val="0055522B"/>
    <w:rsid w:val="00555785"/>
    <w:rsid w:val="00555BDF"/>
    <w:rsid w:val="00555D4A"/>
    <w:rsid w:val="00555FBA"/>
    <w:rsid w:val="00556368"/>
    <w:rsid w:val="0055742C"/>
    <w:rsid w:val="00557471"/>
    <w:rsid w:val="005578D0"/>
    <w:rsid w:val="00557AA6"/>
    <w:rsid w:val="00560BA8"/>
    <w:rsid w:val="005610E1"/>
    <w:rsid w:val="005618E0"/>
    <w:rsid w:val="005619AA"/>
    <w:rsid w:val="00561B6E"/>
    <w:rsid w:val="00562394"/>
    <w:rsid w:val="00562BE1"/>
    <w:rsid w:val="00563106"/>
    <w:rsid w:val="00563255"/>
    <w:rsid w:val="00563563"/>
    <w:rsid w:val="005635AA"/>
    <w:rsid w:val="00563762"/>
    <w:rsid w:val="00563C9E"/>
    <w:rsid w:val="005640B5"/>
    <w:rsid w:val="005644F1"/>
    <w:rsid w:val="0056462D"/>
    <w:rsid w:val="00564A38"/>
    <w:rsid w:val="00564B47"/>
    <w:rsid w:val="00564B73"/>
    <w:rsid w:val="00564E65"/>
    <w:rsid w:val="00564E90"/>
    <w:rsid w:val="00564F88"/>
    <w:rsid w:val="00565212"/>
    <w:rsid w:val="005652AF"/>
    <w:rsid w:val="005652C6"/>
    <w:rsid w:val="00565929"/>
    <w:rsid w:val="00565AF7"/>
    <w:rsid w:val="00565E5B"/>
    <w:rsid w:val="00565E87"/>
    <w:rsid w:val="00566273"/>
    <w:rsid w:val="005662BC"/>
    <w:rsid w:val="005665DB"/>
    <w:rsid w:val="00566A09"/>
    <w:rsid w:val="00566A47"/>
    <w:rsid w:val="00566ACF"/>
    <w:rsid w:val="00566AE8"/>
    <w:rsid w:val="00566DA7"/>
    <w:rsid w:val="00566F61"/>
    <w:rsid w:val="0057069F"/>
    <w:rsid w:val="00570776"/>
    <w:rsid w:val="00570FAD"/>
    <w:rsid w:val="00570FE4"/>
    <w:rsid w:val="00571B29"/>
    <w:rsid w:val="00571E28"/>
    <w:rsid w:val="0057277D"/>
    <w:rsid w:val="00572ACB"/>
    <w:rsid w:val="00572CEF"/>
    <w:rsid w:val="00572E2C"/>
    <w:rsid w:val="00573117"/>
    <w:rsid w:val="0057350C"/>
    <w:rsid w:val="00573BD3"/>
    <w:rsid w:val="00573D00"/>
    <w:rsid w:val="00573E67"/>
    <w:rsid w:val="00573F30"/>
    <w:rsid w:val="00574AA0"/>
    <w:rsid w:val="00574FCC"/>
    <w:rsid w:val="00575587"/>
    <w:rsid w:val="00575AAB"/>
    <w:rsid w:val="005769B5"/>
    <w:rsid w:val="00576CC9"/>
    <w:rsid w:val="00577116"/>
    <w:rsid w:val="00577515"/>
    <w:rsid w:val="005775E2"/>
    <w:rsid w:val="00577816"/>
    <w:rsid w:val="00577A1C"/>
    <w:rsid w:val="00577B64"/>
    <w:rsid w:val="005800B7"/>
    <w:rsid w:val="005802D0"/>
    <w:rsid w:val="005804DF"/>
    <w:rsid w:val="005807D8"/>
    <w:rsid w:val="00580CE8"/>
    <w:rsid w:val="00580D6B"/>
    <w:rsid w:val="00581383"/>
    <w:rsid w:val="00581737"/>
    <w:rsid w:val="00581C48"/>
    <w:rsid w:val="00581FC5"/>
    <w:rsid w:val="005820A6"/>
    <w:rsid w:val="0058212D"/>
    <w:rsid w:val="00582229"/>
    <w:rsid w:val="005822C5"/>
    <w:rsid w:val="00582516"/>
    <w:rsid w:val="00582C63"/>
    <w:rsid w:val="0058361C"/>
    <w:rsid w:val="00583778"/>
    <w:rsid w:val="0058383C"/>
    <w:rsid w:val="005838B8"/>
    <w:rsid w:val="0058391D"/>
    <w:rsid w:val="0058398E"/>
    <w:rsid w:val="00583C90"/>
    <w:rsid w:val="00584505"/>
    <w:rsid w:val="00584604"/>
    <w:rsid w:val="005846A8"/>
    <w:rsid w:val="005847E6"/>
    <w:rsid w:val="00584806"/>
    <w:rsid w:val="00584831"/>
    <w:rsid w:val="00584A09"/>
    <w:rsid w:val="00584A21"/>
    <w:rsid w:val="00584AB8"/>
    <w:rsid w:val="00584D83"/>
    <w:rsid w:val="00584F8E"/>
    <w:rsid w:val="005852EB"/>
    <w:rsid w:val="00585768"/>
    <w:rsid w:val="00585A42"/>
    <w:rsid w:val="00585F27"/>
    <w:rsid w:val="00586120"/>
    <w:rsid w:val="00586531"/>
    <w:rsid w:val="00586A0A"/>
    <w:rsid w:val="00586E21"/>
    <w:rsid w:val="00586EA5"/>
    <w:rsid w:val="00586F35"/>
    <w:rsid w:val="0058704D"/>
    <w:rsid w:val="00587430"/>
    <w:rsid w:val="0058746A"/>
    <w:rsid w:val="005874A3"/>
    <w:rsid w:val="00587C9D"/>
    <w:rsid w:val="00587D7C"/>
    <w:rsid w:val="00587DC2"/>
    <w:rsid w:val="00590176"/>
    <w:rsid w:val="00590567"/>
    <w:rsid w:val="00590750"/>
    <w:rsid w:val="00590BDF"/>
    <w:rsid w:val="00590F26"/>
    <w:rsid w:val="005913B3"/>
    <w:rsid w:val="00591656"/>
    <w:rsid w:val="00592157"/>
    <w:rsid w:val="005929EA"/>
    <w:rsid w:val="005929EC"/>
    <w:rsid w:val="00592CF7"/>
    <w:rsid w:val="00592EB2"/>
    <w:rsid w:val="00592F94"/>
    <w:rsid w:val="005934AC"/>
    <w:rsid w:val="0059365F"/>
    <w:rsid w:val="00593788"/>
    <w:rsid w:val="0059391A"/>
    <w:rsid w:val="00593A5A"/>
    <w:rsid w:val="00593C45"/>
    <w:rsid w:val="0059453A"/>
    <w:rsid w:val="00594AE8"/>
    <w:rsid w:val="00594B4B"/>
    <w:rsid w:val="00594BDC"/>
    <w:rsid w:val="005953E3"/>
    <w:rsid w:val="0059564B"/>
    <w:rsid w:val="005956AF"/>
    <w:rsid w:val="00595C9E"/>
    <w:rsid w:val="005960EF"/>
    <w:rsid w:val="005961D5"/>
    <w:rsid w:val="005962B7"/>
    <w:rsid w:val="00596420"/>
    <w:rsid w:val="005969C4"/>
    <w:rsid w:val="005969EC"/>
    <w:rsid w:val="005972A7"/>
    <w:rsid w:val="00597639"/>
    <w:rsid w:val="0059772F"/>
    <w:rsid w:val="00597DBA"/>
    <w:rsid w:val="005A02B1"/>
    <w:rsid w:val="005A057F"/>
    <w:rsid w:val="005A059E"/>
    <w:rsid w:val="005A05B4"/>
    <w:rsid w:val="005A06B0"/>
    <w:rsid w:val="005A0A58"/>
    <w:rsid w:val="005A0C38"/>
    <w:rsid w:val="005A0F4F"/>
    <w:rsid w:val="005A0FCF"/>
    <w:rsid w:val="005A183D"/>
    <w:rsid w:val="005A1A1F"/>
    <w:rsid w:val="005A1AF5"/>
    <w:rsid w:val="005A1D6F"/>
    <w:rsid w:val="005A242A"/>
    <w:rsid w:val="005A26CC"/>
    <w:rsid w:val="005A2B28"/>
    <w:rsid w:val="005A31F6"/>
    <w:rsid w:val="005A39B7"/>
    <w:rsid w:val="005A3AAC"/>
    <w:rsid w:val="005A4ACE"/>
    <w:rsid w:val="005A4E51"/>
    <w:rsid w:val="005A4FD2"/>
    <w:rsid w:val="005A5104"/>
    <w:rsid w:val="005A52C4"/>
    <w:rsid w:val="005A5975"/>
    <w:rsid w:val="005A59E3"/>
    <w:rsid w:val="005A663A"/>
    <w:rsid w:val="005A69B8"/>
    <w:rsid w:val="005A6B60"/>
    <w:rsid w:val="005A6DB1"/>
    <w:rsid w:val="005A729F"/>
    <w:rsid w:val="005A7396"/>
    <w:rsid w:val="005A73F3"/>
    <w:rsid w:val="005A7824"/>
    <w:rsid w:val="005A7E09"/>
    <w:rsid w:val="005A7F44"/>
    <w:rsid w:val="005B08FF"/>
    <w:rsid w:val="005B0F65"/>
    <w:rsid w:val="005B1334"/>
    <w:rsid w:val="005B1418"/>
    <w:rsid w:val="005B19CD"/>
    <w:rsid w:val="005B2C14"/>
    <w:rsid w:val="005B2C54"/>
    <w:rsid w:val="005B3B48"/>
    <w:rsid w:val="005B4580"/>
    <w:rsid w:val="005B489D"/>
    <w:rsid w:val="005B4A6E"/>
    <w:rsid w:val="005B4C2D"/>
    <w:rsid w:val="005B5739"/>
    <w:rsid w:val="005B5791"/>
    <w:rsid w:val="005B6005"/>
    <w:rsid w:val="005B6213"/>
    <w:rsid w:val="005B62F3"/>
    <w:rsid w:val="005B7047"/>
    <w:rsid w:val="005B711D"/>
    <w:rsid w:val="005B7276"/>
    <w:rsid w:val="005B785B"/>
    <w:rsid w:val="005B7BD0"/>
    <w:rsid w:val="005B7BEE"/>
    <w:rsid w:val="005B7D6D"/>
    <w:rsid w:val="005C0072"/>
    <w:rsid w:val="005C009B"/>
    <w:rsid w:val="005C01D9"/>
    <w:rsid w:val="005C0ACF"/>
    <w:rsid w:val="005C0C7B"/>
    <w:rsid w:val="005C0D5D"/>
    <w:rsid w:val="005C118D"/>
    <w:rsid w:val="005C126B"/>
    <w:rsid w:val="005C18B8"/>
    <w:rsid w:val="005C1B14"/>
    <w:rsid w:val="005C1F09"/>
    <w:rsid w:val="005C216F"/>
    <w:rsid w:val="005C244F"/>
    <w:rsid w:val="005C2625"/>
    <w:rsid w:val="005C26BE"/>
    <w:rsid w:val="005C29F5"/>
    <w:rsid w:val="005C2E8B"/>
    <w:rsid w:val="005C3959"/>
    <w:rsid w:val="005C3ADC"/>
    <w:rsid w:val="005C3DF1"/>
    <w:rsid w:val="005C4A8B"/>
    <w:rsid w:val="005C4D91"/>
    <w:rsid w:val="005C6369"/>
    <w:rsid w:val="005C7170"/>
    <w:rsid w:val="005C743D"/>
    <w:rsid w:val="005D05B7"/>
    <w:rsid w:val="005D17FB"/>
    <w:rsid w:val="005D1956"/>
    <w:rsid w:val="005D1973"/>
    <w:rsid w:val="005D1E51"/>
    <w:rsid w:val="005D24BC"/>
    <w:rsid w:val="005D26BD"/>
    <w:rsid w:val="005D28C6"/>
    <w:rsid w:val="005D2D22"/>
    <w:rsid w:val="005D34C9"/>
    <w:rsid w:val="005D34D5"/>
    <w:rsid w:val="005D37C7"/>
    <w:rsid w:val="005D41AA"/>
    <w:rsid w:val="005D4771"/>
    <w:rsid w:val="005D47AD"/>
    <w:rsid w:val="005D47E4"/>
    <w:rsid w:val="005D485D"/>
    <w:rsid w:val="005D4955"/>
    <w:rsid w:val="005D4C7B"/>
    <w:rsid w:val="005D4DAC"/>
    <w:rsid w:val="005D51CD"/>
    <w:rsid w:val="005D5337"/>
    <w:rsid w:val="005D53B1"/>
    <w:rsid w:val="005D53BB"/>
    <w:rsid w:val="005D562A"/>
    <w:rsid w:val="005D5685"/>
    <w:rsid w:val="005D5831"/>
    <w:rsid w:val="005D589A"/>
    <w:rsid w:val="005D5ADE"/>
    <w:rsid w:val="005D5DC7"/>
    <w:rsid w:val="005D60F5"/>
    <w:rsid w:val="005D6411"/>
    <w:rsid w:val="005D6595"/>
    <w:rsid w:val="005D68E0"/>
    <w:rsid w:val="005D6C85"/>
    <w:rsid w:val="005D6D4E"/>
    <w:rsid w:val="005D707A"/>
    <w:rsid w:val="005D7268"/>
    <w:rsid w:val="005D7480"/>
    <w:rsid w:val="005D7556"/>
    <w:rsid w:val="005D78D0"/>
    <w:rsid w:val="005D7CCD"/>
    <w:rsid w:val="005D7D5E"/>
    <w:rsid w:val="005E0545"/>
    <w:rsid w:val="005E0829"/>
    <w:rsid w:val="005E08C6"/>
    <w:rsid w:val="005E08F5"/>
    <w:rsid w:val="005E0CA4"/>
    <w:rsid w:val="005E10A1"/>
    <w:rsid w:val="005E1164"/>
    <w:rsid w:val="005E11A1"/>
    <w:rsid w:val="005E12A3"/>
    <w:rsid w:val="005E1625"/>
    <w:rsid w:val="005E18E3"/>
    <w:rsid w:val="005E20EE"/>
    <w:rsid w:val="005E29DC"/>
    <w:rsid w:val="005E2C13"/>
    <w:rsid w:val="005E2DA3"/>
    <w:rsid w:val="005E3316"/>
    <w:rsid w:val="005E33FF"/>
    <w:rsid w:val="005E3455"/>
    <w:rsid w:val="005E365F"/>
    <w:rsid w:val="005E3A8B"/>
    <w:rsid w:val="005E3D47"/>
    <w:rsid w:val="005E3D69"/>
    <w:rsid w:val="005E413B"/>
    <w:rsid w:val="005E4150"/>
    <w:rsid w:val="005E4453"/>
    <w:rsid w:val="005E473D"/>
    <w:rsid w:val="005E4916"/>
    <w:rsid w:val="005E50A7"/>
    <w:rsid w:val="005E50F0"/>
    <w:rsid w:val="005E653B"/>
    <w:rsid w:val="005E6D07"/>
    <w:rsid w:val="005E6F38"/>
    <w:rsid w:val="005E6F3B"/>
    <w:rsid w:val="005E7606"/>
    <w:rsid w:val="005E7E61"/>
    <w:rsid w:val="005E7F69"/>
    <w:rsid w:val="005F00AF"/>
    <w:rsid w:val="005F00B0"/>
    <w:rsid w:val="005F0960"/>
    <w:rsid w:val="005F0CB7"/>
    <w:rsid w:val="005F0EF2"/>
    <w:rsid w:val="005F1083"/>
    <w:rsid w:val="005F1784"/>
    <w:rsid w:val="005F17B1"/>
    <w:rsid w:val="005F2955"/>
    <w:rsid w:val="005F3115"/>
    <w:rsid w:val="005F31C7"/>
    <w:rsid w:val="005F3411"/>
    <w:rsid w:val="005F3517"/>
    <w:rsid w:val="005F3752"/>
    <w:rsid w:val="005F380F"/>
    <w:rsid w:val="005F40C3"/>
    <w:rsid w:val="005F4128"/>
    <w:rsid w:val="005F42F9"/>
    <w:rsid w:val="005F4347"/>
    <w:rsid w:val="005F435C"/>
    <w:rsid w:val="005F49A9"/>
    <w:rsid w:val="005F4ABE"/>
    <w:rsid w:val="005F4C78"/>
    <w:rsid w:val="005F4F1D"/>
    <w:rsid w:val="005F5735"/>
    <w:rsid w:val="005F5A1F"/>
    <w:rsid w:val="005F65BC"/>
    <w:rsid w:val="005F6645"/>
    <w:rsid w:val="005F67A3"/>
    <w:rsid w:val="005F6C8C"/>
    <w:rsid w:val="005F6CE5"/>
    <w:rsid w:val="005F6D92"/>
    <w:rsid w:val="005F7012"/>
    <w:rsid w:val="005F7017"/>
    <w:rsid w:val="005F7A87"/>
    <w:rsid w:val="005F7AD7"/>
    <w:rsid w:val="005F7DD2"/>
    <w:rsid w:val="006004F3"/>
    <w:rsid w:val="00600653"/>
    <w:rsid w:val="0060083A"/>
    <w:rsid w:val="00600996"/>
    <w:rsid w:val="0060184C"/>
    <w:rsid w:val="00601E0D"/>
    <w:rsid w:val="006020F1"/>
    <w:rsid w:val="006022C7"/>
    <w:rsid w:val="00602778"/>
    <w:rsid w:val="00602D87"/>
    <w:rsid w:val="00602F91"/>
    <w:rsid w:val="00603232"/>
    <w:rsid w:val="006036B2"/>
    <w:rsid w:val="00603754"/>
    <w:rsid w:val="00603E5C"/>
    <w:rsid w:val="00603F06"/>
    <w:rsid w:val="0060439D"/>
    <w:rsid w:val="006043A8"/>
    <w:rsid w:val="00604BBE"/>
    <w:rsid w:val="0060605D"/>
    <w:rsid w:val="00606236"/>
    <w:rsid w:val="00606886"/>
    <w:rsid w:val="00606B99"/>
    <w:rsid w:val="00606CB7"/>
    <w:rsid w:val="00607705"/>
    <w:rsid w:val="00607B52"/>
    <w:rsid w:val="00607F14"/>
    <w:rsid w:val="006109BB"/>
    <w:rsid w:val="0061106D"/>
    <w:rsid w:val="0061109B"/>
    <w:rsid w:val="0061134E"/>
    <w:rsid w:val="006113BD"/>
    <w:rsid w:val="006113CC"/>
    <w:rsid w:val="006117B4"/>
    <w:rsid w:val="00611953"/>
    <w:rsid w:val="00611C90"/>
    <w:rsid w:val="00611F6C"/>
    <w:rsid w:val="00612578"/>
    <w:rsid w:val="0061258B"/>
    <w:rsid w:val="006127BF"/>
    <w:rsid w:val="006128F8"/>
    <w:rsid w:val="00612A80"/>
    <w:rsid w:val="00612F0B"/>
    <w:rsid w:val="006130A6"/>
    <w:rsid w:val="0061356B"/>
    <w:rsid w:val="006137F8"/>
    <w:rsid w:val="006137FE"/>
    <w:rsid w:val="0061394D"/>
    <w:rsid w:val="00613C48"/>
    <w:rsid w:val="00613E3B"/>
    <w:rsid w:val="00613F1E"/>
    <w:rsid w:val="00614695"/>
    <w:rsid w:val="00614A56"/>
    <w:rsid w:val="00614CC2"/>
    <w:rsid w:val="00615085"/>
    <w:rsid w:val="0061540E"/>
    <w:rsid w:val="00615C24"/>
    <w:rsid w:val="00615D1F"/>
    <w:rsid w:val="00616442"/>
    <w:rsid w:val="006164D9"/>
    <w:rsid w:val="006164F3"/>
    <w:rsid w:val="00616661"/>
    <w:rsid w:val="00616747"/>
    <w:rsid w:val="00616BDB"/>
    <w:rsid w:val="00616C25"/>
    <w:rsid w:val="00616CE0"/>
    <w:rsid w:val="00616D73"/>
    <w:rsid w:val="00617728"/>
    <w:rsid w:val="006177F6"/>
    <w:rsid w:val="00617B24"/>
    <w:rsid w:val="00617D7E"/>
    <w:rsid w:val="00617F8D"/>
    <w:rsid w:val="0062124C"/>
    <w:rsid w:val="0062157E"/>
    <w:rsid w:val="006218CE"/>
    <w:rsid w:val="006219C5"/>
    <w:rsid w:val="00621AEC"/>
    <w:rsid w:val="00622144"/>
    <w:rsid w:val="006231ED"/>
    <w:rsid w:val="0062388A"/>
    <w:rsid w:val="006238CC"/>
    <w:rsid w:val="00623E55"/>
    <w:rsid w:val="006243E7"/>
    <w:rsid w:val="006245CA"/>
    <w:rsid w:val="00624C7E"/>
    <w:rsid w:val="00624EEE"/>
    <w:rsid w:val="00624F7C"/>
    <w:rsid w:val="00625077"/>
    <w:rsid w:val="00625DC4"/>
    <w:rsid w:val="00626112"/>
    <w:rsid w:val="006262C6"/>
    <w:rsid w:val="0062643E"/>
    <w:rsid w:val="00626D56"/>
    <w:rsid w:val="00627100"/>
    <w:rsid w:val="00627384"/>
    <w:rsid w:val="006276AF"/>
    <w:rsid w:val="00627745"/>
    <w:rsid w:val="0062791F"/>
    <w:rsid w:val="00627B83"/>
    <w:rsid w:val="00627E57"/>
    <w:rsid w:val="00631C65"/>
    <w:rsid w:val="00631E20"/>
    <w:rsid w:val="00632A22"/>
    <w:rsid w:val="00632C95"/>
    <w:rsid w:val="006332A7"/>
    <w:rsid w:val="006336AF"/>
    <w:rsid w:val="00633874"/>
    <w:rsid w:val="00633889"/>
    <w:rsid w:val="006339D0"/>
    <w:rsid w:val="00633EAA"/>
    <w:rsid w:val="006340C6"/>
    <w:rsid w:val="006341ED"/>
    <w:rsid w:val="00634454"/>
    <w:rsid w:val="0063447D"/>
    <w:rsid w:val="00634937"/>
    <w:rsid w:val="00634D37"/>
    <w:rsid w:val="00635016"/>
    <w:rsid w:val="0063506E"/>
    <w:rsid w:val="0063573E"/>
    <w:rsid w:val="00636005"/>
    <w:rsid w:val="006360B8"/>
    <w:rsid w:val="006360F9"/>
    <w:rsid w:val="00636168"/>
    <w:rsid w:val="00636241"/>
    <w:rsid w:val="006362D3"/>
    <w:rsid w:val="00636812"/>
    <w:rsid w:val="00636BBD"/>
    <w:rsid w:val="0063767F"/>
    <w:rsid w:val="00637827"/>
    <w:rsid w:val="00637D54"/>
    <w:rsid w:val="00640005"/>
    <w:rsid w:val="00640498"/>
    <w:rsid w:val="006405D7"/>
    <w:rsid w:val="00640834"/>
    <w:rsid w:val="006416F0"/>
    <w:rsid w:val="00641707"/>
    <w:rsid w:val="00641B8D"/>
    <w:rsid w:val="00641BA2"/>
    <w:rsid w:val="00642092"/>
    <w:rsid w:val="006421AD"/>
    <w:rsid w:val="0064283F"/>
    <w:rsid w:val="00642A9B"/>
    <w:rsid w:val="00642D02"/>
    <w:rsid w:val="00642EB6"/>
    <w:rsid w:val="0064301A"/>
    <w:rsid w:val="006435FD"/>
    <w:rsid w:val="00643AA2"/>
    <w:rsid w:val="00643BDB"/>
    <w:rsid w:val="00643DE7"/>
    <w:rsid w:val="00644900"/>
    <w:rsid w:val="006449E0"/>
    <w:rsid w:val="00644DFE"/>
    <w:rsid w:val="00644ED1"/>
    <w:rsid w:val="00645360"/>
    <w:rsid w:val="006455AE"/>
    <w:rsid w:val="006457D8"/>
    <w:rsid w:val="00645B7E"/>
    <w:rsid w:val="00645D75"/>
    <w:rsid w:val="00645DBA"/>
    <w:rsid w:val="006461EB"/>
    <w:rsid w:val="006467A3"/>
    <w:rsid w:val="00646CCB"/>
    <w:rsid w:val="006471E1"/>
    <w:rsid w:val="0064734F"/>
    <w:rsid w:val="006475B9"/>
    <w:rsid w:val="00647C50"/>
    <w:rsid w:val="00647D2A"/>
    <w:rsid w:val="00647D74"/>
    <w:rsid w:val="006500A7"/>
    <w:rsid w:val="00650265"/>
    <w:rsid w:val="006503F5"/>
    <w:rsid w:val="006504E2"/>
    <w:rsid w:val="00650FEF"/>
    <w:rsid w:val="006511C7"/>
    <w:rsid w:val="006512F6"/>
    <w:rsid w:val="0065169A"/>
    <w:rsid w:val="006517D6"/>
    <w:rsid w:val="0065193C"/>
    <w:rsid w:val="00652167"/>
    <w:rsid w:val="00652396"/>
    <w:rsid w:val="00652DEF"/>
    <w:rsid w:val="00653332"/>
    <w:rsid w:val="00653422"/>
    <w:rsid w:val="00653476"/>
    <w:rsid w:val="006534CF"/>
    <w:rsid w:val="0065370B"/>
    <w:rsid w:val="00653EA6"/>
    <w:rsid w:val="0065404E"/>
    <w:rsid w:val="00654061"/>
    <w:rsid w:val="006540D0"/>
    <w:rsid w:val="006540FC"/>
    <w:rsid w:val="006544F2"/>
    <w:rsid w:val="00654D04"/>
    <w:rsid w:val="00655518"/>
    <w:rsid w:val="00655BCB"/>
    <w:rsid w:val="00655F5B"/>
    <w:rsid w:val="0065646A"/>
    <w:rsid w:val="006565CD"/>
    <w:rsid w:val="00656770"/>
    <w:rsid w:val="00656B4A"/>
    <w:rsid w:val="00656B78"/>
    <w:rsid w:val="00657024"/>
    <w:rsid w:val="006575CD"/>
    <w:rsid w:val="006578EA"/>
    <w:rsid w:val="00657AA5"/>
    <w:rsid w:val="00657B78"/>
    <w:rsid w:val="00657C90"/>
    <w:rsid w:val="0066003A"/>
    <w:rsid w:val="00660633"/>
    <w:rsid w:val="0066082F"/>
    <w:rsid w:val="006609D4"/>
    <w:rsid w:val="00660B05"/>
    <w:rsid w:val="00660E90"/>
    <w:rsid w:val="006611BE"/>
    <w:rsid w:val="00661248"/>
    <w:rsid w:val="00661277"/>
    <w:rsid w:val="00661D96"/>
    <w:rsid w:val="00661E48"/>
    <w:rsid w:val="00662122"/>
    <w:rsid w:val="006621A9"/>
    <w:rsid w:val="006628A0"/>
    <w:rsid w:val="00662E06"/>
    <w:rsid w:val="0066382F"/>
    <w:rsid w:val="006638A6"/>
    <w:rsid w:val="00663988"/>
    <w:rsid w:val="0066433A"/>
    <w:rsid w:val="00664451"/>
    <w:rsid w:val="006645CA"/>
    <w:rsid w:val="00664AEE"/>
    <w:rsid w:val="00664B59"/>
    <w:rsid w:val="00664BEE"/>
    <w:rsid w:val="00664CBC"/>
    <w:rsid w:val="00664D95"/>
    <w:rsid w:val="0066517F"/>
    <w:rsid w:val="00665353"/>
    <w:rsid w:val="00666221"/>
    <w:rsid w:val="006665C4"/>
    <w:rsid w:val="006666CE"/>
    <w:rsid w:val="006669DB"/>
    <w:rsid w:val="00666DA4"/>
    <w:rsid w:val="006671C9"/>
    <w:rsid w:val="0066761D"/>
    <w:rsid w:val="0066762D"/>
    <w:rsid w:val="00667634"/>
    <w:rsid w:val="00667C8A"/>
    <w:rsid w:val="00667ED5"/>
    <w:rsid w:val="00670501"/>
    <w:rsid w:val="00670855"/>
    <w:rsid w:val="00670B9E"/>
    <w:rsid w:val="00670BBD"/>
    <w:rsid w:val="00670BEE"/>
    <w:rsid w:val="00670D0F"/>
    <w:rsid w:val="00670DCE"/>
    <w:rsid w:val="00670F29"/>
    <w:rsid w:val="00670F9D"/>
    <w:rsid w:val="006716EC"/>
    <w:rsid w:val="00672825"/>
    <w:rsid w:val="0067295B"/>
    <w:rsid w:val="00672A42"/>
    <w:rsid w:val="00672B92"/>
    <w:rsid w:val="00672DD7"/>
    <w:rsid w:val="00673092"/>
    <w:rsid w:val="0067398F"/>
    <w:rsid w:val="00673C4F"/>
    <w:rsid w:val="0067423D"/>
    <w:rsid w:val="00674B54"/>
    <w:rsid w:val="006751ED"/>
    <w:rsid w:val="006751F0"/>
    <w:rsid w:val="00675A29"/>
    <w:rsid w:val="00675E7A"/>
    <w:rsid w:val="00675EF9"/>
    <w:rsid w:val="00676167"/>
    <w:rsid w:val="006762C1"/>
    <w:rsid w:val="006768A0"/>
    <w:rsid w:val="00676D1E"/>
    <w:rsid w:val="00676F7A"/>
    <w:rsid w:val="0067702C"/>
    <w:rsid w:val="00677172"/>
    <w:rsid w:val="00677637"/>
    <w:rsid w:val="00677F91"/>
    <w:rsid w:val="0068009E"/>
    <w:rsid w:val="0068014B"/>
    <w:rsid w:val="006807EC"/>
    <w:rsid w:val="00680991"/>
    <w:rsid w:val="00680E0A"/>
    <w:rsid w:val="00681108"/>
    <w:rsid w:val="00681688"/>
    <w:rsid w:val="00681D9D"/>
    <w:rsid w:val="0068227D"/>
    <w:rsid w:val="006822C1"/>
    <w:rsid w:val="00682346"/>
    <w:rsid w:val="006825BB"/>
    <w:rsid w:val="00682A3E"/>
    <w:rsid w:val="00682F54"/>
    <w:rsid w:val="00683084"/>
    <w:rsid w:val="0068336A"/>
    <w:rsid w:val="00683988"/>
    <w:rsid w:val="006839C4"/>
    <w:rsid w:val="0068426D"/>
    <w:rsid w:val="0068481E"/>
    <w:rsid w:val="00684AA5"/>
    <w:rsid w:val="00684DA6"/>
    <w:rsid w:val="00684FBB"/>
    <w:rsid w:val="00685310"/>
    <w:rsid w:val="0068569E"/>
    <w:rsid w:val="00685B0A"/>
    <w:rsid w:val="00686A94"/>
    <w:rsid w:val="00686F3B"/>
    <w:rsid w:val="00687341"/>
    <w:rsid w:val="00687611"/>
    <w:rsid w:val="00687FB5"/>
    <w:rsid w:val="006902BA"/>
    <w:rsid w:val="006902EB"/>
    <w:rsid w:val="0069037C"/>
    <w:rsid w:val="00690EB0"/>
    <w:rsid w:val="006910C3"/>
    <w:rsid w:val="00691133"/>
    <w:rsid w:val="00691AD0"/>
    <w:rsid w:val="00691BCD"/>
    <w:rsid w:val="00691D8B"/>
    <w:rsid w:val="0069207C"/>
    <w:rsid w:val="00692305"/>
    <w:rsid w:val="006928BA"/>
    <w:rsid w:val="006929A8"/>
    <w:rsid w:val="00692C58"/>
    <w:rsid w:val="0069313E"/>
    <w:rsid w:val="00693C16"/>
    <w:rsid w:val="006941C5"/>
    <w:rsid w:val="006943A3"/>
    <w:rsid w:val="0069492A"/>
    <w:rsid w:val="0069495B"/>
    <w:rsid w:val="00694A7C"/>
    <w:rsid w:val="00694A90"/>
    <w:rsid w:val="00694C07"/>
    <w:rsid w:val="00694CA9"/>
    <w:rsid w:val="006951A5"/>
    <w:rsid w:val="006954B0"/>
    <w:rsid w:val="0069567D"/>
    <w:rsid w:val="00695E0E"/>
    <w:rsid w:val="00696680"/>
    <w:rsid w:val="006967E0"/>
    <w:rsid w:val="00696C25"/>
    <w:rsid w:val="00696FCD"/>
    <w:rsid w:val="0069764B"/>
    <w:rsid w:val="00697D72"/>
    <w:rsid w:val="00697DDD"/>
    <w:rsid w:val="00697F54"/>
    <w:rsid w:val="006A06A3"/>
    <w:rsid w:val="006A0A11"/>
    <w:rsid w:val="006A0C5B"/>
    <w:rsid w:val="006A0EEF"/>
    <w:rsid w:val="006A11A6"/>
    <w:rsid w:val="006A11E4"/>
    <w:rsid w:val="006A121F"/>
    <w:rsid w:val="006A1BC4"/>
    <w:rsid w:val="006A21E5"/>
    <w:rsid w:val="006A21F4"/>
    <w:rsid w:val="006A22C1"/>
    <w:rsid w:val="006A28B6"/>
    <w:rsid w:val="006A2D65"/>
    <w:rsid w:val="006A300A"/>
    <w:rsid w:val="006A359D"/>
    <w:rsid w:val="006A36AE"/>
    <w:rsid w:val="006A38CF"/>
    <w:rsid w:val="006A3B7B"/>
    <w:rsid w:val="006A3DD4"/>
    <w:rsid w:val="006A4A8C"/>
    <w:rsid w:val="006A4F9B"/>
    <w:rsid w:val="006A5031"/>
    <w:rsid w:val="006A5658"/>
    <w:rsid w:val="006A579F"/>
    <w:rsid w:val="006A57FB"/>
    <w:rsid w:val="006A61AA"/>
    <w:rsid w:val="006A6377"/>
    <w:rsid w:val="006A6C5B"/>
    <w:rsid w:val="006A7950"/>
    <w:rsid w:val="006A7D15"/>
    <w:rsid w:val="006B03DF"/>
    <w:rsid w:val="006B0587"/>
    <w:rsid w:val="006B061A"/>
    <w:rsid w:val="006B0F57"/>
    <w:rsid w:val="006B1017"/>
    <w:rsid w:val="006B12A7"/>
    <w:rsid w:val="006B1390"/>
    <w:rsid w:val="006B1499"/>
    <w:rsid w:val="006B157C"/>
    <w:rsid w:val="006B162E"/>
    <w:rsid w:val="006B17AD"/>
    <w:rsid w:val="006B1847"/>
    <w:rsid w:val="006B19C4"/>
    <w:rsid w:val="006B1C99"/>
    <w:rsid w:val="006B1CAE"/>
    <w:rsid w:val="006B204A"/>
    <w:rsid w:val="006B2954"/>
    <w:rsid w:val="006B2A89"/>
    <w:rsid w:val="006B3C78"/>
    <w:rsid w:val="006B40F4"/>
    <w:rsid w:val="006B4337"/>
    <w:rsid w:val="006B4774"/>
    <w:rsid w:val="006B47BE"/>
    <w:rsid w:val="006B4829"/>
    <w:rsid w:val="006B53A4"/>
    <w:rsid w:val="006B5481"/>
    <w:rsid w:val="006B59E3"/>
    <w:rsid w:val="006B5D59"/>
    <w:rsid w:val="006B5D8F"/>
    <w:rsid w:val="006B61D0"/>
    <w:rsid w:val="006B62D9"/>
    <w:rsid w:val="006B6E64"/>
    <w:rsid w:val="006B7096"/>
    <w:rsid w:val="006B767C"/>
    <w:rsid w:val="006B79CB"/>
    <w:rsid w:val="006B7F05"/>
    <w:rsid w:val="006C04E7"/>
    <w:rsid w:val="006C069F"/>
    <w:rsid w:val="006C0907"/>
    <w:rsid w:val="006C10E5"/>
    <w:rsid w:val="006C1FD2"/>
    <w:rsid w:val="006C20D0"/>
    <w:rsid w:val="006C28F0"/>
    <w:rsid w:val="006C2E24"/>
    <w:rsid w:val="006C32D8"/>
    <w:rsid w:val="006C35BE"/>
    <w:rsid w:val="006C39D5"/>
    <w:rsid w:val="006C3B47"/>
    <w:rsid w:val="006C3BDD"/>
    <w:rsid w:val="006C3E21"/>
    <w:rsid w:val="006C44F0"/>
    <w:rsid w:val="006C4525"/>
    <w:rsid w:val="006C4717"/>
    <w:rsid w:val="006C5726"/>
    <w:rsid w:val="006C58DA"/>
    <w:rsid w:val="006C5DC5"/>
    <w:rsid w:val="006C607C"/>
    <w:rsid w:val="006C6147"/>
    <w:rsid w:val="006C6364"/>
    <w:rsid w:val="006C642F"/>
    <w:rsid w:val="006C647D"/>
    <w:rsid w:val="006C668E"/>
    <w:rsid w:val="006C67C5"/>
    <w:rsid w:val="006C67CF"/>
    <w:rsid w:val="006C69B2"/>
    <w:rsid w:val="006C6A64"/>
    <w:rsid w:val="006C730B"/>
    <w:rsid w:val="006C7548"/>
    <w:rsid w:val="006C7B7A"/>
    <w:rsid w:val="006C7FC1"/>
    <w:rsid w:val="006D06D3"/>
    <w:rsid w:val="006D1003"/>
    <w:rsid w:val="006D11D6"/>
    <w:rsid w:val="006D163F"/>
    <w:rsid w:val="006D17AB"/>
    <w:rsid w:val="006D17B1"/>
    <w:rsid w:val="006D209B"/>
    <w:rsid w:val="006D2420"/>
    <w:rsid w:val="006D2602"/>
    <w:rsid w:val="006D2944"/>
    <w:rsid w:val="006D2BB9"/>
    <w:rsid w:val="006D3175"/>
    <w:rsid w:val="006D3280"/>
    <w:rsid w:val="006D3472"/>
    <w:rsid w:val="006D3550"/>
    <w:rsid w:val="006D35A6"/>
    <w:rsid w:val="006D36F5"/>
    <w:rsid w:val="006D374C"/>
    <w:rsid w:val="006D3AC0"/>
    <w:rsid w:val="006D3D8F"/>
    <w:rsid w:val="006D3E5D"/>
    <w:rsid w:val="006D466B"/>
    <w:rsid w:val="006D4759"/>
    <w:rsid w:val="006D48BE"/>
    <w:rsid w:val="006D4B29"/>
    <w:rsid w:val="006D4F5A"/>
    <w:rsid w:val="006D52DC"/>
    <w:rsid w:val="006D5332"/>
    <w:rsid w:val="006D5460"/>
    <w:rsid w:val="006D54F5"/>
    <w:rsid w:val="006D5BAB"/>
    <w:rsid w:val="006D6DD3"/>
    <w:rsid w:val="006D7828"/>
    <w:rsid w:val="006D7FA2"/>
    <w:rsid w:val="006E0038"/>
    <w:rsid w:val="006E0125"/>
    <w:rsid w:val="006E0197"/>
    <w:rsid w:val="006E04C4"/>
    <w:rsid w:val="006E0CFD"/>
    <w:rsid w:val="006E1253"/>
    <w:rsid w:val="006E1338"/>
    <w:rsid w:val="006E1592"/>
    <w:rsid w:val="006E15C8"/>
    <w:rsid w:val="006E1614"/>
    <w:rsid w:val="006E1622"/>
    <w:rsid w:val="006E1BEA"/>
    <w:rsid w:val="006E1E35"/>
    <w:rsid w:val="006E2007"/>
    <w:rsid w:val="006E245B"/>
    <w:rsid w:val="006E249C"/>
    <w:rsid w:val="006E2680"/>
    <w:rsid w:val="006E2822"/>
    <w:rsid w:val="006E2A83"/>
    <w:rsid w:val="006E2E7D"/>
    <w:rsid w:val="006E3CAC"/>
    <w:rsid w:val="006E44EC"/>
    <w:rsid w:val="006E4C29"/>
    <w:rsid w:val="006E4DBD"/>
    <w:rsid w:val="006E4EA2"/>
    <w:rsid w:val="006E5545"/>
    <w:rsid w:val="006E5D4C"/>
    <w:rsid w:val="006E6041"/>
    <w:rsid w:val="006E6049"/>
    <w:rsid w:val="006E6419"/>
    <w:rsid w:val="006E695F"/>
    <w:rsid w:val="006E6ED9"/>
    <w:rsid w:val="006E719C"/>
    <w:rsid w:val="006E7271"/>
    <w:rsid w:val="006E76A3"/>
    <w:rsid w:val="006E7B09"/>
    <w:rsid w:val="006E7ED0"/>
    <w:rsid w:val="006E7FD1"/>
    <w:rsid w:val="006F0138"/>
    <w:rsid w:val="006F0480"/>
    <w:rsid w:val="006F0553"/>
    <w:rsid w:val="006F0583"/>
    <w:rsid w:val="006F0889"/>
    <w:rsid w:val="006F0DD8"/>
    <w:rsid w:val="006F10BB"/>
    <w:rsid w:val="006F127E"/>
    <w:rsid w:val="006F15F0"/>
    <w:rsid w:val="006F179F"/>
    <w:rsid w:val="006F1A7B"/>
    <w:rsid w:val="006F2133"/>
    <w:rsid w:val="006F22B9"/>
    <w:rsid w:val="006F2609"/>
    <w:rsid w:val="006F2B36"/>
    <w:rsid w:val="006F3123"/>
    <w:rsid w:val="006F32E8"/>
    <w:rsid w:val="006F446C"/>
    <w:rsid w:val="006F4BAD"/>
    <w:rsid w:val="006F4C36"/>
    <w:rsid w:val="006F51D6"/>
    <w:rsid w:val="006F5232"/>
    <w:rsid w:val="006F59AB"/>
    <w:rsid w:val="006F5B61"/>
    <w:rsid w:val="006F61CA"/>
    <w:rsid w:val="006F658F"/>
    <w:rsid w:val="006F6A40"/>
    <w:rsid w:val="006F6B5E"/>
    <w:rsid w:val="006F6BF0"/>
    <w:rsid w:val="006F6F3F"/>
    <w:rsid w:val="006F70E1"/>
    <w:rsid w:val="006F7301"/>
    <w:rsid w:val="006F7AA6"/>
    <w:rsid w:val="006F7B37"/>
    <w:rsid w:val="006F7BB6"/>
    <w:rsid w:val="00700038"/>
    <w:rsid w:val="0070050E"/>
    <w:rsid w:val="00700D7D"/>
    <w:rsid w:val="00701455"/>
    <w:rsid w:val="00701C61"/>
    <w:rsid w:val="00702087"/>
    <w:rsid w:val="007024B9"/>
    <w:rsid w:val="007028BD"/>
    <w:rsid w:val="00702929"/>
    <w:rsid w:val="00702C18"/>
    <w:rsid w:val="00702DC4"/>
    <w:rsid w:val="0070330F"/>
    <w:rsid w:val="00703351"/>
    <w:rsid w:val="00703D71"/>
    <w:rsid w:val="00703DCE"/>
    <w:rsid w:val="00704754"/>
    <w:rsid w:val="00704AA2"/>
    <w:rsid w:val="00704C4A"/>
    <w:rsid w:val="00704EFC"/>
    <w:rsid w:val="0070507B"/>
    <w:rsid w:val="0070543F"/>
    <w:rsid w:val="0070555E"/>
    <w:rsid w:val="00705E66"/>
    <w:rsid w:val="00706047"/>
    <w:rsid w:val="0070633E"/>
    <w:rsid w:val="007073F3"/>
    <w:rsid w:val="00707ABF"/>
    <w:rsid w:val="00707F9A"/>
    <w:rsid w:val="0071061B"/>
    <w:rsid w:val="00710A1C"/>
    <w:rsid w:val="00710AC1"/>
    <w:rsid w:val="00710E84"/>
    <w:rsid w:val="007111FD"/>
    <w:rsid w:val="00711290"/>
    <w:rsid w:val="00711489"/>
    <w:rsid w:val="007114B5"/>
    <w:rsid w:val="0071190A"/>
    <w:rsid w:val="00711B79"/>
    <w:rsid w:val="00711C32"/>
    <w:rsid w:val="00712386"/>
    <w:rsid w:val="0071239A"/>
    <w:rsid w:val="00712607"/>
    <w:rsid w:val="007126C3"/>
    <w:rsid w:val="007129FF"/>
    <w:rsid w:val="0071309D"/>
    <w:rsid w:val="0071314E"/>
    <w:rsid w:val="0071326B"/>
    <w:rsid w:val="00713717"/>
    <w:rsid w:val="00713CEF"/>
    <w:rsid w:val="00714233"/>
    <w:rsid w:val="007143A4"/>
    <w:rsid w:val="007147E9"/>
    <w:rsid w:val="007149EF"/>
    <w:rsid w:val="00715192"/>
    <w:rsid w:val="007152F9"/>
    <w:rsid w:val="007162D2"/>
    <w:rsid w:val="00716310"/>
    <w:rsid w:val="007165ED"/>
    <w:rsid w:val="00716F0E"/>
    <w:rsid w:val="00716F5A"/>
    <w:rsid w:val="00717404"/>
    <w:rsid w:val="00717F5C"/>
    <w:rsid w:val="007200F4"/>
    <w:rsid w:val="00720508"/>
    <w:rsid w:val="00720CFB"/>
    <w:rsid w:val="00720DBC"/>
    <w:rsid w:val="00720F9E"/>
    <w:rsid w:val="007216AD"/>
    <w:rsid w:val="00721979"/>
    <w:rsid w:val="00721C39"/>
    <w:rsid w:val="00721E0E"/>
    <w:rsid w:val="00721E59"/>
    <w:rsid w:val="00721F48"/>
    <w:rsid w:val="00721FE3"/>
    <w:rsid w:val="007222C0"/>
    <w:rsid w:val="00722492"/>
    <w:rsid w:val="00723718"/>
    <w:rsid w:val="00723804"/>
    <w:rsid w:val="007239DF"/>
    <w:rsid w:val="007239F0"/>
    <w:rsid w:val="00723A5B"/>
    <w:rsid w:val="007240B5"/>
    <w:rsid w:val="00724C16"/>
    <w:rsid w:val="00724DB0"/>
    <w:rsid w:val="00724FFA"/>
    <w:rsid w:val="0072515F"/>
    <w:rsid w:val="00725667"/>
    <w:rsid w:val="00725D10"/>
    <w:rsid w:val="007266AB"/>
    <w:rsid w:val="007266C9"/>
    <w:rsid w:val="00726F37"/>
    <w:rsid w:val="00727412"/>
    <w:rsid w:val="00727574"/>
    <w:rsid w:val="007276AA"/>
    <w:rsid w:val="00727945"/>
    <w:rsid w:val="00727D6A"/>
    <w:rsid w:val="007300AE"/>
    <w:rsid w:val="007307F0"/>
    <w:rsid w:val="007308A7"/>
    <w:rsid w:val="00730A2B"/>
    <w:rsid w:val="007313DB"/>
    <w:rsid w:val="007314D9"/>
    <w:rsid w:val="007318B3"/>
    <w:rsid w:val="00731F81"/>
    <w:rsid w:val="0073224D"/>
    <w:rsid w:val="00732821"/>
    <w:rsid w:val="00732B14"/>
    <w:rsid w:val="00732BF8"/>
    <w:rsid w:val="00732CB5"/>
    <w:rsid w:val="00732FFC"/>
    <w:rsid w:val="0073324D"/>
    <w:rsid w:val="00733251"/>
    <w:rsid w:val="00733268"/>
    <w:rsid w:val="007335E3"/>
    <w:rsid w:val="007344D8"/>
    <w:rsid w:val="007349B7"/>
    <w:rsid w:val="00734BA5"/>
    <w:rsid w:val="007352A1"/>
    <w:rsid w:val="007355BF"/>
    <w:rsid w:val="0073564E"/>
    <w:rsid w:val="00735AD3"/>
    <w:rsid w:val="00735D01"/>
    <w:rsid w:val="00736681"/>
    <w:rsid w:val="0073687D"/>
    <w:rsid w:val="00736F50"/>
    <w:rsid w:val="00737B4A"/>
    <w:rsid w:val="00737DEF"/>
    <w:rsid w:val="00740010"/>
    <w:rsid w:val="00740792"/>
    <w:rsid w:val="00740FC8"/>
    <w:rsid w:val="0074116E"/>
    <w:rsid w:val="00741435"/>
    <w:rsid w:val="00741ED9"/>
    <w:rsid w:val="007420DA"/>
    <w:rsid w:val="007428FB"/>
    <w:rsid w:val="00742B09"/>
    <w:rsid w:val="00742EEF"/>
    <w:rsid w:val="0074320A"/>
    <w:rsid w:val="0074324C"/>
    <w:rsid w:val="00743672"/>
    <w:rsid w:val="00743D92"/>
    <w:rsid w:val="0074432D"/>
    <w:rsid w:val="00744734"/>
    <w:rsid w:val="00744952"/>
    <w:rsid w:val="007452E4"/>
    <w:rsid w:val="007456E9"/>
    <w:rsid w:val="007459DD"/>
    <w:rsid w:val="00745A08"/>
    <w:rsid w:val="00745CDE"/>
    <w:rsid w:val="00745D6A"/>
    <w:rsid w:val="00745E43"/>
    <w:rsid w:val="00745EE1"/>
    <w:rsid w:val="00745F11"/>
    <w:rsid w:val="0074665A"/>
    <w:rsid w:val="00746E70"/>
    <w:rsid w:val="00747176"/>
    <w:rsid w:val="0074747A"/>
    <w:rsid w:val="00747490"/>
    <w:rsid w:val="00750192"/>
    <w:rsid w:val="007504A5"/>
    <w:rsid w:val="007505C2"/>
    <w:rsid w:val="00751158"/>
    <w:rsid w:val="007513C1"/>
    <w:rsid w:val="00751892"/>
    <w:rsid w:val="00751C2D"/>
    <w:rsid w:val="00752816"/>
    <w:rsid w:val="00752D52"/>
    <w:rsid w:val="0075322A"/>
    <w:rsid w:val="0075377E"/>
    <w:rsid w:val="00753CB8"/>
    <w:rsid w:val="007542D4"/>
    <w:rsid w:val="00754CFD"/>
    <w:rsid w:val="00754F18"/>
    <w:rsid w:val="007552AF"/>
    <w:rsid w:val="00755374"/>
    <w:rsid w:val="00755481"/>
    <w:rsid w:val="00755516"/>
    <w:rsid w:val="00755553"/>
    <w:rsid w:val="00755678"/>
    <w:rsid w:val="00755DFE"/>
    <w:rsid w:val="0075625C"/>
    <w:rsid w:val="007575DC"/>
    <w:rsid w:val="007575E8"/>
    <w:rsid w:val="007602A0"/>
    <w:rsid w:val="007604E1"/>
    <w:rsid w:val="00760725"/>
    <w:rsid w:val="00761385"/>
    <w:rsid w:val="00761730"/>
    <w:rsid w:val="0076181A"/>
    <w:rsid w:val="007619C2"/>
    <w:rsid w:val="007619DE"/>
    <w:rsid w:val="00761B35"/>
    <w:rsid w:val="00761B5A"/>
    <w:rsid w:val="0076201F"/>
    <w:rsid w:val="00762372"/>
    <w:rsid w:val="00762837"/>
    <w:rsid w:val="00762AA6"/>
    <w:rsid w:val="00762D57"/>
    <w:rsid w:val="0076318A"/>
    <w:rsid w:val="007637C1"/>
    <w:rsid w:val="0076397D"/>
    <w:rsid w:val="00763A76"/>
    <w:rsid w:val="0076416B"/>
    <w:rsid w:val="00764E4B"/>
    <w:rsid w:val="007653D8"/>
    <w:rsid w:val="00765643"/>
    <w:rsid w:val="00765708"/>
    <w:rsid w:val="00765917"/>
    <w:rsid w:val="007659BA"/>
    <w:rsid w:val="007659EB"/>
    <w:rsid w:val="00765E87"/>
    <w:rsid w:val="007660E3"/>
    <w:rsid w:val="00766384"/>
    <w:rsid w:val="007664FC"/>
    <w:rsid w:val="00766931"/>
    <w:rsid w:val="007669E5"/>
    <w:rsid w:val="00766EC6"/>
    <w:rsid w:val="00767779"/>
    <w:rsid w:val="007678A0"/>
    <w:rsid w:val="00767A1F"/>
    <w:rsid w:val="00767AE4"/>
    <w:rsid w:val="00767BBB"/>
    <w:rsid w:val="00770172"/>
    <w:rsid w:val="00770D87"/>
    <w:rsid w:val="0077105B"/>
    <w:rsid w:val="00771C67"/>
    <w:rsid w:val="00771FEF"/>
    <w:rsid w:val="0077261B"/>
    <w:rsid w:val="00772C12"/>
    <w:rsid w:val="0077321D"/>
    <w:rsid w:val="007735F8"/>
    <w:rsid w:val="00773854"/>
    <w:rsid w:val="00773DB6"/>
    <w:rsid w:val="007740A5"/>
    <w:rsid w:val="007740F7"/>
    <w:rsid w:val="0077410C"/>
    <w:rsid w:val="0077443C"/>
    <w:rsid w:val="00774746"/>
    <w:rsid w:val="00774C25"/>
    <w:rsid w:val="00774FDB"/>
    <w:rsid w:val="0077559D"/>
    <w:rsid w:val="00775612"/>
    <w:rsid w:val="00775AA8"/>
    <w:rsid w:val="00775B75"/>
    <w:rsid w:val="00775E64"/>
    <w:rsid w:val="00776D2B"/>
    <w:rsid w:val="00776E2C"/>
    <w:rsid w:val="007772EF"/>
    <w:rsid w:val="00777432"/>
    <w:rsid w:val="00777986"/>
    <w:rsid w:val="00777BFE"/>
    <w:rsid w:val="00780897"/>
    <w:rsid w:val="007815ED"/>
    <w:rsid w:val="0078192A"/>
    <w:rsid w:val="00781C68"/>
    <w:rsid w:val="00781E69"/>
    <w:rsid w:val="007821C1"/>
    <w:rsid w:val="00782D62"/>
    <w:rsid w:val="007838FF"/>
    <w:rsid w:val="00783EBB"/>
    <w:rsid w:val="0078438B"/>
    <w:rsid w:val="0078451D"/>
    <w:rsid w:val="00784A2B"/>
    <w:rsid w:val="00784CAD"/>
    <w:rsid w:val="00784D68"/>
    <w:rsid w:val="007851A8"/>
    <w:rsid w:val="0078531C"/>
    <w:rsid w:val="0078544D"/>
    <w:rsid w:val="00785788"/>
    <w:rsid w:val="00785862"/>
    <w:rsid w:val="00785ABF"/>
    <w:rsid w:val="0078649D"/>
    <w:rsid w:val="007864C1"/>
    <w:rsid w:val="007865A6"/>
    <w:rsid w:val="00786A09"/>
    <w:rsid w:val="00786EAA"/>
    <w:rsid w:val="007871CA"/>
    <w:rsid w:val="007874F6"/>
    <w:rsid w:val="00787A69"/>
    <w:rsid w:val="00787EEF"/>
    <w:rsid w:val="0079034C"/>
    <w:rsid w:val="0079040F"/>
    <w:rsid w:val="0079062A"/>
    <w:rsid w:val="00790899"/>
    <w:rsid w:val="00791007"/>
    <w:rsid w:val="007912F9"/>
    <w:rsid w:val="00791DD8"/>
    <w:rsid w:val="00792041"/>
    <w:rsid w:val="00792444"/>
    <w:rsid w:val="007924E3"/>
    <w:rsid w:val="0079273F"/>
    <w:rsid w:val="00792899"/>
    <w:rsid w:val="00792BAF"/>
    <w:rsid w:val="00792D5D"/>
    <w:rsid w:val="007930B2"/>
    <w:rsid w:val="007930F4"/>
    <w:rsid w:val="00793975"/>
    <w:rsid w:val="007943EE"/>
    <w:rsid w:val="00794469"/>
    <w:rsid w:val="00795383"/>
    <w:rsid w:val="0079692E"/>
    <w:rsid w:val="00796942"/>
    <w:rsid w:val="00796A34"/>
    <w:rsid w:val="00797011"/>
    <w:rsid w:val="007974B5"/>
    <w:rsid w:val="00797AB1"/>
    <w:rsid w:val="00797BC8"/>
    <w:rsid w:val="00797F59"/>
    <w:rsid w:val="007A0036"/>
    <w:rsid w:val="007A0284"/>
    <w:rsid w:val="007A02BC"/>
    <w:rsid w:val="007A05D5"/>
    <w:rsid w:val="007A069F"/>
    <w:rsid w:val="007A08D1"/>
    <w:rsid w:val="007A0C74"/>
    <w:rsid w:val="007A0E8E"/>
    <w:rsid w:val="007A128E"/>
    <w:rsid w:val="007A14A3"/>
    <w:rsid w:val="007A1DCB"/>
    <w:rsid w:val="007A20B9"/>
    <w:rsid w:val="007A235A"/>
    <w:rsid w:val="007A2782"/>
    <w:rsid w:val="007A28AB"/>
    <w:rsid w:val="007A28EC"/>
    <w:rsid w:val="007A2A3A"/>
    <w:rsid w:val="007A2D8C"/>
    <w:rsid w:val="007A34AE"/>
    <w:rsid w:val="007A35CD"/>
    <w:rsid w:val="007A3A9B"/>
    <w:rsid w:val="007A3AD9"/>
    <w:rsid w:val="007A3B98"/>
    <w:rsid w:val="007A3E1C"/>
    <w:rsid w:val="007A43DE"/>
    <w:rsid w:val="007A4682"/>
    <w:rsid w:val="007A47C1"/>
    <w:rsid w:val="007A48A3"/>
    <w:rsid w:val="007A4CC8"/>
    <w:rsid w:val="007A4DFF"/>
    <w:rsid w:val="007A54C5"/>
    <w:rsid w:val="007A5B1C"/>
    <w:rsid w:val="007A5D40"/>
    <w:rsid w:val="007A62BB"/>
    <w:rsid w:val="007A63C1"/>
    <w:rsid w:val="007A6501"/>
    <w:rsid w:val="007A65BD"/>
    <w:rsid w:val="007A67B3"/>
    <w:rsid w:val="007A6FCF"/>
    <w:rsid w:val="007A736E"/>
    <w:rsid w:val="007A77E8"/>
    <w:rsid w:val="007A7857"/>
    <w:rsid w:val="007B01E9"/>
    <w:rsid w:val="007B0265"/>
    <w:rsid w:val="007B0DAA"/>
    <w:rsid w:val="007B0EF2"/>
    <w:rsid w:val="007B10A8"/>
    <w:rsid w:val="007B1429"/>
    <w:rsid w:val="007B1811"/>
    <w:rsid w:val="007B21C2"/>
    <w:rsid w:val="007B225A"/>
    <w:rsid w:val="007B2492"/>
    <w:rsid w:val="007B2504"/>
    <w:rsid w:val="007B2F5E"/>
    <w:rsid w:val="007B32BA"/>
    <w:rsid w:val="007B3B23"/>
    <w:rsid w:val="007B4164"/>
    <w:rsid w:val="007B42CE"/>
    <w:rsid w:val="007B556F"/>
    <w:rsid w:val="007B55D6"/>
    <w:rsid w:val="007B55E8"/>
    <w:rsid w:val="007B59C2"/>
    <w:rsid w:val="007B5B27"/>
    <w:rsid w:val="007B5D6B"/>
    <w:rsid w:val="007B5F5F"/>
    <w:rsid w:val="007B63FA"/>
    <w:rsid w:val="007B6524"/>
    <w:rsid w:val="007B7166"/>
    <w:rsid w:val="007B7278"/>
    <w:rsid w:val="007B73AA"/>
    <w:rsid w:val="007B7420"/>
    <w:rsid w:val="007B79E7"/>
    <w:rsid w:val="007B79F1"/>
    <w:rsid w:val="007B7B93"/>
    <w:rsid w:val="007B7F30"/>
    <w:rsid w:val="007C04A5"/>
    <w:rsid w:val="007C07F7"/>
    <w:rsid w:val="007C0FAA"/>
    <w:rsid w:val="007C16B2"/>
    <w:rsid w:val="007C1AA6"/>
    <w:rsid w:val="007C2536"/>
    <w:rsid w:val="007C2C3F"/>
    <w:rsid w:val="007C2CAF"/>
    <w:rsid w:val="007C35C9"/>
    <w:rsid w:val="007C3A5D"/>
    <w:rsid w:val="007C3CF5"/>
    <w:rsid w:val="007C4012"/>
    <w:rsid w:val="007C4633"/>
    <w:rsid w:val="007C4CA0"/>
    <w:rsid w:val="007C4DF0"/>
    <w:rsid w:val="007C5F2F"/>
    <w:rsid w:val="007C5F78"/>
    <w:rsid w:val="007C6163"/>
    <w:rsid w:val="007C6177"/>
    <w:rsid w:val="007C65F9"/>
    <w:rsid w:val="007C7529"/>
    <w:rsid w:val="007C762F"/>
    <w:rsid w:val="007C7A1B"/>
    <w:rsid w:val="007C7C71"/>
    <w:rsid w:val="007C7CA6"/>
    <w:rsid w:val="007C7D00"/>
    <w:rsid w:val="007C7E05"/>
    <w:rsid w:val="007D01FD"/>
    <w:rsid w:val="007D0289"/>
    <w:rsid w:val="007D0382"/>
    <w:rsid w:val="007D06B1"/>
    <w:rsid w:val="007D120C"/>
    <w:rsid w:val="007D14CF"/>
    <w:rsid w:val="007D16FA"/>
    <w:rsid w:val="007D1855"/>
    <w:rsid w:val="007D193D"/>
    <w:rsid w:val="007D1EA4"/>
    <w:rsid w:val="007D2332"/>
    <w:rsid w:val="007D24BA"/>
    <w:rsid w:val="007D2579"/>
    <w:rsid w:val="007D2656"/>
    <w:rsid w:val="007D2940"/>
    <w:rsid w:val="007D2D22"/>
    <w:rsid w:val="007D3125"/>
    <w:rsid w:val="007D3B5C"/>
    <w:rsid w:val="007D3D59"/>
    <w:rsid w:val="007D4266"/>
    <w:rsid w:val="007D43EC"/>
    <w:rsid w:val="007D4529"/>
    <w:rsid w:val="007D45C3"/>
    <w:rsid w:val="007D46BA"/>
    <w:rsid w:val="007D46FC"/>
    <w:rsid w:val="007D4886"/>
    <w:rsid w:val="007D4971"/>
    <w:rsid w:val="007D4ABA"/>
    <w:rsid w:val="007D4F32"/>
    <w:rsid w:val="007D5037"/>
    <w:rsid w:val="007D54B3"/>
    <w:rsid w:val="007D57E8"/>
    <w:rsid w:val="007D5C6F"/>
    <w:rsid w:val="007D5F20"/>
    <w:rsid w:val="007D6142"/>
    <w:rsid w:val="007D61F3"/>
    <w:rsid w:val="007D6740"/>
    <w:rsid w:val="007D6ACF"/>
    <w:rsid w:val="007D6BCD"/>
    <w:rsid w:val="007D702F"/>
    <w:rsid w:val="007D73D7"/>
    <w:rsid w:val="007D7D67"/>
    <w:rsid w:val="007E01ED"/>
    <w:rsid w:val="007E0D0E"/>
    <w:rsid w:val="007E1314"/>
    <w:rsid w:val="007E13FF"/>
    <w:rsid w:val="007E2120"/>
    <w:rsid w:val="007E2130"/>
    <w:rsid w:val="007E237C"/>
    <w:rsid w:val="007E260F"/>
    <w:rsid w:val="007E2FCF"/>
    <w:rsid w:val="007E3C41"/>
    <w:rsid w:val="007E3C8C"/>
    <w:rsid w:val="007E3F39"/>
    <w:rsid w:val="007E418F"/>
    <w:rsid w:val="007E44B7"/>
    <w:rsid w:val="007E47F6"/>
    <w:rsid w:val="007E5EAC"/>
    <w:rsid w:val="007E5EC6"/>
    <w:rsid w:val="007E613A"/>
    <w:rsid w:val="007E6291"/>
    <w:rsid w:val="007E7408"/>
    <w:rsid w:val="007E7AE8"/>
    <w:rsid w:val="007E7C36"/>
    <w:rsid w:val="007F05D4"/>
    <w:rsid w:val="007F0E97"/>
    <w:rsid w:val="007F109F"/>
    <w:rsid w:val="007F1200"/>
    <w:rsid w:val="007F167E"/>
    <w:rsid w:val="007F16D4"/>
    <w:rsid w:val="007F1A02"/>
    <w:rsid w:val="007F2273"/>
    <w:rsid w:val="007F2285"/>
    <w:rsid w:val="007F261E"/>
    <w:rsid w:val="007F262C"/>
    <w:rsid w:val="007F2B77"/>
    <w:rsid w:val="007F3B8F"/>
    <w:rsid w:val="007F45FE"/>
    <w:rsid w:val="007F4AC8"/>
    <w:rsid w:val="007F4C18"/>
    <w:rsid w:val="007F4E4C"/>
    <w:rsid w:val="007F6156"/>
    <w:rsid w:val="007F6379"/>
    <w:rsid w:val="007F648B"/>
    <w:rsid w:val="007F6657"/>
    <w:rsid w:val="007F6805"/>
    <w:rsid w:val="007F6B57"/>
    <w:rsid w:val="007F6C13"/>
    <w:rsid w:val="007F7043"/>
    <w:rsid w:val="007F7190"/>
    <w:rsid w:val="007F72C9"/>
    <w:rsid w:val="007F744F"/>
    <w:rsid w:val="007F7A92"/>
    <w:rsid w:val="00800A3E"/>
    <w:rsid w:val="00800C44"/>
    <w:rsid w:val="00800CDA"/>
    <w:rsid w:val="00800D86"/>
    <w:rsid w:val="00800EA0"/>
    <w:rsid w:val="0080117E"/>
    <w:rsid w:val="008013C4"/>
    <w:rsid w:val="008014E9"/>
    <w:rsid w:val="0080160E"/>
    <w:rsid w:val="00801802"/>
    <w:rsid w:val="00801C6C"/>
    <w:rsid w:val="00801D40"/>
    <w:rsid w:val="00801E11"/>
    <w:rsid w:val="00801EAB"/>
    <w:rsid w:val="00802064"/>
    <w:rsid w:val="008024AA"/>
    <w:rsid w:val="00802FC4"/>
    <w:rsid w:val="00803ADC"/>
    <w:rsid w:val="00803E8D"/>
    <w:rsid w:val="0080410C"/>
    <w:rsid w:val="0080446C"/>
    <w:rsid w:val="008044AA"/>
    <w:rsid w:val="008058D7"/>
    <w:rsid w:val="00805D04"/>
    <w:rsid w:val="00805E7F"/>
    <w:rsid w:val="00806081"/>
    <w:rsid w:val="0080637B"/>
    <w:rsid w:val="00806819"/>
    <w:rsid w:val="00807036"/>
    <w:rsid w:val="0080755F"/>
    <w:rsid w:val="0080760E"/>
    <w:rsid w:val="0080764B"/>
    <w:rsid w:val="008077E2"/>
    <w:rsid w:val="00807C7C"/>
    <w:rsid w:val="00810386"/>
    <w:rsid w:val="008115DE"/>
    <w:rsid w:val="008118BE"/>
    <w:rsid w:val="00811CCA"/>
    <w:rsid w:val="00811EE5"/>
    <w:rsid w:val="00811EF9"/>
    <w:rsid w:val="008120EE"/>
    <w:rsid w:val="00812296"/>
    <w:rsid w:val="0081272F"/>
    <w:rsid w:val="00812A22"/>
    <w:rsid w:val="00813256"/>
    <w:rsid w:val="00813950"/>
    <w:rsid w:val="00813B05"/>
    <w:rsid w:val="008140BB"/>
    <w:rsid w:val="00814138"/>
    <w:rsid w:val="0081419D"/>
    <w:rsid w:val="00815261"/>
    <w:rsid w:val="00815348"/>
    <w:rsid w:val="0081564B"/>
    <w:rsid w:val="0081572D"/>
    <w:rsid w:val="00815B1A"/>
    <w:rsid w:val="00815BDA"/>
    <w:rsid w:val="008162D4"/>
    <w:rsid w:val="00816332"/>
    <w:rsid w:val="008167D6"/>
    <w:rsid w:val="00816CA6"/>
    <w:rsid w:val="00816DCD"/>
    <w:rsid w:val="00816FD8"/>
    <w:rsid w:val="00816FFA"/>
    <w:rsid w:val="0081722D"/>
    <w:rsid w:val="00817513"/>
    <w:rsid w:val="00817E9A"/>
    <w:rsid w:val="00817EA6"/>
    <w:rsid w:val="00817EF0"/>
    <w:rsid w:val="008200F3"/>
    <w:rsid w:val="008203CF"/>
    <w:rsid w:val="008205DB"/>
    <w:rsid w:val="0082114F"/>
    <w:rsid w:val="008219AF"/>
    <w:rsid w:val="00821CF6"/>
    <w:rsid w:val="008222E0"/>
    <w:rsid w:val="00822D87"/>
    <w:rsid w:val="008231F9"/>
    <w:rsid w:val="0082356F"/>
    <w:rsid w:val="0082358D"/>
    <w:rsid w:val="008236D2"/>
    <w:rsid w:val="0082374B"/>
    <w:rsid w:val="00823CDA"/>
    <w:rsid w:val="00824072"/>
    <w:rsid w:val="0082413A"/>
    <w:rsid w:val="00824508"/>
    <w:rsid w:val="0082454E"/>
    <w:rsid w:val="0082518B"/>
    <w:rsid w:val="00826469"/>
    <w:rsid w:val="008264C2"/>
    <w:rsid w:val="00826C10"/>
    <w:rsid w:val="00826C96"/>
    <w:rsid w:val="00826DF0"/>
    <w:rsid w:val="008275D0"/>
    <w:rsid w:val="0082772E"/>
    <w:rsid w:val="00830052"/>
    <w:rsid w:val="00830080"/>
    <w:rsid w:val="008302CC"/>
    <w:rsid w:val="00830A0D"/>
    <w:rsid w:val="00830C70"/>
    <w:rsid w:val="008311BD"/>
    <w:rsid w:val="008315B7"/>
    <w:rsid w:val="00831779"/>
    <w:rsid w:val="00831923"/>
    <w:rsid w:val="00831A40"/>
    <w:rsid w:val="00831B61"/>
    <w:rsid w:val="00831CE6"/>
    <w:rsid w:val="00831F58"/>
    <w:rsid w:val="00832044"/>
    <w:rsid w:val="008325B8"/>
    <w:rsid w:val="008326F6"/>
    <w:rsid w:val="0083296B"/>
    <w:rsid w:val="008329A9"/>
    <w:rsid w:val="00833A9F"/>
    <w:rsid w:val="00833D24"/>
    <w:rsid w:val="00833E52"/>
    <w:rsid w:val="00833ED5"/>
    <w:rsid w:val="00834730"/>
    <w:rsid w:val="0083475D"/>
    <w:rsid w:val="008348F3"/>
    <w:rsid w:val="00834C6B"/>
    <w:rsid w:val="008351BD"/>
    <w:rsid w:val="00835CA0"/>
    <w:rsid w:val="00835D55"/>
    <w:rsid w:val="00835DE8"/>
    <w:rsid w:val="0083720E"/>
    <w:rsid w:val="008376DB"/>
    <w:rsid w:val="0083774D"/>
    <w:rsid w:val="00837B3C"/>
    <w:rsid w:val="00837E2F"/>
    <w:rsid w:val="008402F2"/>
    <w:rsid w:val="0084050F"/>
    <w:rsid w:val="00840C10"/>
    <w:rsid w:val="00840CF5"/>
    <w:rsid w:val="00840E91"/>
    <w:rsid w:val="00840F0C"/>
    <w:rsid w:val="008410BE"/>
    <w:rsid w:val="00841211"/>
    <w:rsid w:val="008413CD"/>
    <w:rsid w:val="008416DD"/>
    <w:rsid w:val="008419EA"/>
    <w:rsid w:val="00841A8D"/>
    <w:rsid w:val="008422A9"/>
    <w:rsid w:val="00842CC4"/>
    <w:rsid w:val="00842F2F"/>
    <w:rsid w:val="008438AF"/>
    <w:rsid w:val="00843B03"/>
    <w:rsid w:val="00843C94"/>
    <w:rsid w:val="00844BBD"/>
    <w:rsid w:val="00844C51"/>
    <w:rsid w:val="00845809"/>
    <w:rsid w:val="00845D05"/>
    <w:rsid w:val="008465C4"/>
    <w:rsid w:val="00846694"/>
    <w:rsid w:val="008471EB"/>
    <w:rsid w:val="00847300"/>
    <w:rsid w:val="00847436"/>
    <w:rsid w:val="00847590"/>
    <w:rsid w:val="008475A0"/>
    <w:rsid w:val="008475B5"/>
    <w:rsid w:val="0084769B"/>
    <w:rsid w:val="00847B76"/>
    <w:rsid w:val="00847C5C"/>
    <w:rsid w:val="00847E48"/>
    <w:rsid w:val="00850CA7"/>
    <w:rsid w:val="00850EF5"/>
    <w:rsid w:val="008517B6"/>
    <w:rsid w:val="00851F99"/>
    <w:rsid w:val="00852428"/>
    <w:rsid w:val="00852858"/>
    <w:rsid w:val="00852B24"/>
    <w:rsid w:val="00852CAE"/>
    <w:rsid w:val="00852D6D"/>
    <w:rsid w:val="00852EDF"/>
    <w:rsid w:val="00853444"/>
    <w:rsid w:val="008534E6"/>
    <w:rsid w:val="008536B8"/>
    <w:rsid w:val="008537D9"/>
    <w:rsid w:val="0085389A"/>
    <w:rsid w:val="00854075"/>
    <w:rsid w:val="008547B7"/>
    <w:rsid w:val="008549A6"/>
    <w:rsid w:val="008549DE"/>
    <w:rsid w:val="00855A18"/>
    <w:rsid w:val="00855DD9"/>
    <w:rsid w:val="008565A6"/>
    <w:rsid w:val="00856A2D"/>
    <w:rsid w:val="00856AF6"/>
    <w:rsid w:val="00856DC4"/>
    <w:rsid w:val="0085707D"/>
    <w:rsid w:val="008572A0"/>
    <w:rsid w:val="0085730B"/>
    <w:rsid w:val="00857596"/>
    <w:rsid w:val="00857A80"/>
    <w:rsid w:val="00857A96"/>
    <w:rsid w:val="00857B28"/>
    <w:rsid w:val="00860317"/>
    <w:rsid w:val="008603FA"/>
    <w:rsid w:val="00860B89"/>
    <w:rsid w:val="0086166B"/>
    <w:rsid w:val="00861A2B"/>
    <w:rsid w:val="00861B19"/>
    <w:rsid w:val="008628EA"/>
    <w:rsid w:val="00862949"/>
    <w:rsid w:val="00862DA5"/>
    <w:rsid w:val="008639F3"/>
    <w:rsid w:val="00863DF2"/>
    <w:rsid w:val="00863FB2"/>
    <w:rsid w:val="008641C5"/>
    <w:rsid w:val="00864E63"/>
    <w:rsid w:val="00864EFD"/>
    <w:rsid w:val="0086523C"/>
    <w:rsid w:val="0086535C"/>
    <w:rsid w:val="00865C9B"/>
    <w:rsid w:val="0086624C"/>
    <w:rsid w:val="008664B3"/>
    <w:rsid w:val="0086687C"/>
    <w:rsid w:val="00866CC6"/>
    <w:rsid w:val="00866EC0"/>
    <w:rsid w:val="00867047"/>
    <w:rsid w:val="0086711E"/>
    <w:rsid w:val="0086791E"/>
    <w:rsid w:val="008679CB"/>
    <w:rsid w:val="00867EB0"/>
    <w:rsid w:val="008706AE"/>
    <w:rsid w:val="0087171C"/>
    <w:rsid w:val="008718F2"/>
    <w:rsid w:val="00871AD3"/>
    <w:rsid w:val="00872220"/>
    <w:rsid w:val="0087223E"/>
    <w:rsid w:val="008725F3"/>
    <w:rsid w:val="008726B8"/>
    <w:rsid w:val="008733E0"/>
    <w:rsid w:val="00873539"/>
    <w:rsid w:val="008737DA"/>
    <w:rsid w:val="00873827"/>
    <w:rsid w:val="0087419B"/>
    <w:rsid w:val="008743BB"/>
    <w:rsid w:val="00874644"/>
    <w:rsid w:val="00874730"/>
    <w:rsid w:val="00875C0D"/>
    <w:rsid w:val="00875EF1"/>
    <w:rsid w:val="00875FCC"/>
    <w:rsid w:val="00876025"/>
    <w:rsid w:val="008760F3"/>
    <w:rsid w:val="00876482"/>
    <w:rsid w:val="0087675C"/>
    <w:rsid w:val="00877191"/>
    <w:rsid w:val="008773F4"/>
    <w:rsid w:val="00877421"/>
    <w:rsid w:val="00877433"/>
    <w:rsid w:val="008774A9"/>
    <w:rsid w:val="008774CB"/>
    <w:rsid w:val="008779FF"/>
    <w:rsid w:val="0088039B"/>
    <w:rsid w:val="008803E8"/>
    <w:rsid w:val="00880B6F"/>
    <w:rsid w:val="0088142E"/>
    <w:rsid w:val="00881AFF"/>
    <w:rsid w:val="00881B49"/>
    <w:rsid w:val="00882366"/>
    <w:rsid w:val="0088251A"/>
    <w:rsid w:val="00882692"/>
    <w:rsid w:val="008828FA"/>
    <w:rsid w:val="00882A68"/>
    <w:rsid w:val="00882C58"/>
    <w:rsid w:val="00882FDE"/>
    <w:rsid w:val="00883035"/>
    <w:rsid w:val="008831BD"/>
    <w:rsid w:val="00883214"/>
    <w:rsid w:val="0088328C"/>
    <w:rsid w:val="008834FB"/>
    <w:rsid w:val="008835A8"/>
    <w:rsid w:val="0088374E"/>
    <w:rsid w:val="00884080"/>
    <w:rsid w:val="00884218"/>
    <w:rsid w:val="0088422E"/>
    <w:rsid w:val="0088425A"/>
    <w:rsid w:val="00884BEA"/>
    <w:rsid w:val="00884C0E"/>
    <w:rsid w:val="00884CB4"/>
    <w:rsid w:val="00884E51"/>
    <w:rsid w:val="00885CAE"/>
    <w:rsid w:val="00885E17"/>
    <w:rsid w:val="00885FC2"/>
    <w:rsid w:val="008860CC"/>
    <w:rsid w:val="00886CB7"/>
    <w:rsid w:val="008870B3"/>
    <w:rsid w:val="0088780F"/>
    <w:rsid w:val="00887A91"/>
    <w:rsid w:val="00887CEB"/>
    <w:rsid w:val="0089017C"/>
    <w:rsid w:val="008903FB"/>
    <w:rsid w:val="00890BEB"/>
    <w:rsid w:val="00891346"/>
    <w:rsid w:val="00891CDA"/>
    <w:rsid w:val="00891D6F"/>
    <w:rsid w:val="00892841"/>
    <w:rsid w:val="00892898"/>
    <w:rsid w:val="008928C6"/>
    <w:rsid w:val="008929C9"/>
    <w:rsid w:val="00892B50"/>
    <w:rsid w:val="008930A4"/>
    <w:rsid w:val="00893101"/>
    <w:rsid w:val="00893225"/>
    <w:rsid w:val="00893A94"/>
    <w:rsid w:val="00893B13"/>
    <w:rsid w:val="00893C8C"/>
    <w:rsid w:val="00894417"/>
    <w:rsid w:val="0089449E"/>
    <w:rsid w:val="0089456A"/>
    <w:rsid w:val="0089468A"/>
    <w:rsid w:val="008949EF"/>
    <w:rsid w:val="008952F3"/>
    <w:rsid w:val="0089548F"/>
    <w:rsid w:val="00895527"/>
    <w:rsid w:val="008955A8"/>
    <w:rsid w:val="00895AC7"/>
    <w:rsid w:val="00895E29"/>
    <w:rsid w:val="0089647F"/>
    <w:rsid w:val="00896AE9"/>
    <w:rsid w:val="00896D1E"/>
    <w:rsid w:val="00896FAD"/>
    <w:rsid w:val="0089786D"/>
    <w:rsid w:val="00897936"/>
    <w:rsid w:val="008A00D2"/>
    <w:rsid w:val="008A0357"/>
    <w:rsid w:val="008A03E2"/>
    <w:rsid w:val="008A08FD"/>
    <w:rsid w:val="008A1526"/>
    <w:rsid w:val="008A15DB"/>
    <w:rsid w:val="008A17A1"/>
    <w:rsid w:val="008A1977"/>
    <w:rsid w:val="008A1CA2"/>
    <w:rsid w:val="008A1D4D"/>
    <w:rsid w:val="008A1DD4"/>
    <w:rsid w:val="008A1DD5"/>
    <w:rsid w:val="008A1FDD"/>
    <w:rsid w:val="008A201A"/>
    <w:rsid w:val="008A2465"/>
    <w:rsid w:val="008A256C"/>
    <w:rsid w:val="008A2852"/>
    <w:rsid w:val="008A2AF4"/>
    <w:rsid w:val="008A2C28"/>
    <w:rsid w:val="008A2DD7"/>
    <w:rsid w:val="008A351C"/>
    <w:rsid w:val="008A3B35"/>
    <w:rsid w:val="008A40A1"/>
    <w:rsid w:val="008A4139"/>
    <w:rsid w:val="008A4323"/>
    <w:rsid w:val="008A45C1"/>
    <w:rsid w:val="008A46D1"/>
    <w:rsid w:val="008A4964"/>
    <w:rsid w:val="008A4C3C"/>
    <w:rsid w:val="008A4DF9"/>
    <w:rsid w:val="008A4E5C"/>
    <w:rsid w:val="008A517C"/>
    <w:rsid w:val="008A51D1"/>
    <w:rsid w:val="008A52C8"/>
    <w:rsid w:val="008A5AEF"/>
    <w:rsid w:val="008A5E56"/>
    <w:rsid w:val="008A63B9"/>
    <w:rsid w:val="008A70F4"/>
    <w:rsid w:val="008A7549"/>
    <w:rsid w:val="008A7697"/>
    <w:rsid w:val="008A7745"/>
    <w:rsid w:val="008A7B18"/>
    <w:rsid w:val="008A7E9E"/>
    <w:rsid w:val="008A7EB5"/>
    <w:rsid w:val="008B0487"/>
    <w:rsid w:val="008B0646"/>
    <w:rsid w:val="008B0CB1"/>
    <w:rsid w:val="008B0EC4"/>
    <w:rsid w:val="008B18D4"/>
    <w:rsid w:val="008B1940"/>
    <w:rsid w:val="008B1E65"/>
    <w:rsid w:val="008B1FEE"/>
    <w:rsid w:val="008B23DC"/>
    <w:rsid w:val="008B2817"/>
    <w:rsid w:val="008B2867"/>
    <w:rsid w:val="008B2B54"/>
    <w:rsid w:val="008B2CA0"/>
    <w:rsid w:val="008B2CB4"/>
    <w:rsid w:val="008B2DC6"/>
    <w:rsid w:val="008B307A"/>
    <w:rsid w:val="008B36AD"/>
    <w:rsid w:val="008B4358"/>
    <w:rsid w:val="008B44C4"/>
    <w:rsid w:val="008B468E"/>
    <w:rsid w:val="008B4972"/>
    <w:rsid w:val="008B512F"/>
    <w:rsid w:val="008B517D"/>
    <w:rsid w:val="008B55BE"/>
    <w:rsid w:val="008B57AA"/>
    <w:rsid w:val="008B57E8"/>
    <w:rsid w:val="008B58AF"/>
    <w:rsid w:val="008B597B"/>
    <w:rsid w:val="008B5F6C"/>
    <w:rsid w:val="008B62C9"/>
    <w:rsid w:val="008B6862"/>
    <w:rsid w:val="008B6F06"/>
    <w:rsid w:val="008B70BC"/>
    <w:rsid w:val="008B7E06"/>
    <w:rsid w:val="008B7EF2"/>
    <w:rsid w:val="008C0444"/>
    <w:rsid w:val="008C0588"/>
    <w:rsid w:val="008C0F1A"/>
    <w:rsid w:val="008C102A"/>
    <w:rsid w:val="008C103B"/>
    <w:rsid w:val="008C137C"/>
    <w:rsid w:val="008C157A"/>
    <w:rsid w:val="008C179F"/>
    <w:rsid w:val="008C1B8A"/>
    <w:rsid w:val="008C1D02"/>
    <w:rsid w:val="008C1FD7"/>
    <w:rsid w:val="008C20A0"/>
    <w:rsid w:val="008C21B7"/>
    <w:rsid w:val="008C22F1"/>
    <w:rsid w:val="008C2379"/>
    <w:rsid w:val="008C2575"/>
    <w:rsid w:val="008C2661"/>
    <w:rsid w:val="008C2734"/>
    <w:rsid w:val="008C28F3"/>
    <w:rsid w:val="008C33C8"/>
    <w:rsid w:val="008C3519"/>
    <w:rsid w:val="008C377C"/>
    <w:rsid w:val="008C38C0"/>
    <w:rsid w:val="008C41AD"/>
    <w:rsid w:val="008C4550"/>
    <w:rsid w:val="008C456F"/>
    <w:rsid w:val="008C4C06"/>
    <w:rsid w:val="008C4E2E"/>
    <w:rsid w:val="008C5555"/>
    <w:rsid w:val="008C5B89"/>
    <w:rsid w:val="008C5E3C"/>
    <w:rsid w:val="008C6B23"/>
    <w:rsid w:val="008C6CE9"/>
    <w:rsid w:val="008C7013"/>
    <w:rsid w:val="008C7394"/>
    <w:rsid w:val="008C73EC"/>
    <w:rsid w:val="008C75A7"/>
    <w:rsid w:val="008C792A"/>
    <w:rsid w:val="008C7B89"/>
    <w:rsid w:val="008C7F97"/>
    <w:rsid w:val="008D01B9"/>
    <w:rsid w:val="008D03FB"/>
    <w:rsid w:val="008D0D3F"/>
    <w:rsid w:val="008D0E74"/>
    <w:rsid w:val="008D146A"/>
    <w:rsid w:val="008D1809"/>
    <w:rsid w:val="008D18B0"/>
    <w:rsid w:val="008D1D76"/>
    <w:rsid w:val="008D2747"/>
    <w:rsid w:val="008D390E"/>
    <w:rsid w:val="008D3EF1"/>
    <w:rsid w:val="008D3F17"/>
    <w:rsid w:val="008D426D"/>
    <w:rsid w:val="008D4460"/>
    <w:rsid w:val="008D49CA"/>
    <w:rsid w:val="008D4D53"/>
    <w:rsid w:val="008D530E"/>
    <w:rsid w:val="008D5EF0"/>
    <w:rsid w:val="008D60EF"/>
    <w:rsid w:val="008D62ED"/>
    <w:rsid w:val="008D63BE"/>
    <w:rsid w:val="008D66EC"/>
    <w:rsid w:val="008D6A94"/>
    <w:rsid w:val="008D6B34"/>
    <w:rsid w:val="008D6DCA"/>
    <w:rsid w:val="008D6DE3"/>
    <w:rsid w:val="008D6F39"/>
    <w:rsid w:val="008D78DE"/>
    <w:rsid w:val="008E015C"/>
    <w:rsid w:val="008E01E0"/>
    <w:rsid w:val="008E02E1"/>
    <w:rsid w:val="008E0610"/>
    <w:rsid w:val="008E0717"/>
    <w:rsid w:val="008E087C"/>
    <w:rsid w:val="008E0B8B"/>
    <w:rsid w:val="008E0C83"/>
    <w:rsid w:val="008E0CC2"/>
    <w:rsid w:val="008E0EB6"/>
    <w:rsid w:val="008E10FC"/>
    <w:rsid w:val="008E1D6F"/>
    <w:rsid w:val="008E220F"/>
    <w:rsid w:val="008E267F"/>
    <w:rsid w:val="008E27DE"/>
    <w:rsid w:val="008E2982"/>
    <w:rsid w:val="008E299C"/>
    <w:rsid w:val="008E2BCC"/>
    <w:rsid w:val="008E3077"/>
    <w:rsid w:val="008E30CF"/>
    <w:rsid w:val="008E369E"/>
    <w:rsid w:val="008E3771"/>
    <w:rsid w:val="008E383B"/>
    <w:rsid w:val="008E3E2C"/>
    <w:rsid w:val="008E4133"/>
    <w:rsid w:val="008E433C"/>
    <w:rsid w:val="008E481B"/>
    <w:rsid w:val="008E4CCB"/>
    <w:rsid w:val="008E4FFA"/>
    <w:rsid w:val="008E577C"/>
    <w:rsid w:val="008E5887"/>
    <w:rsid w:val="008E63E0"/>
    <w:rsid w:val="008E641A"/>
    <w:rsid w:val="008E70F6"/>
    <w:rsid w:val="008E7649"/>
    <w:rsid w:val="008E77F2"/>
    <w:rsid w:val="008E7D20"/>
    <w:rsid w:val="008F0E28"/>
    <w:rsid w:val="008F0F3C"/>
    <w:rsid w:val="008F10F8"/>
    <w:rsid w:val="008F1231"/>
    <w:rsid w:val="008F1300"/>
    <w:rsid w:val="008F1563"/>
    <w:rsid w:val="008F18CA"/>
    <w:rsid w:val="008F1AB0"/>
    <w:rsid w:val="008F1EA4"/>
    <w:rsid w:val="008F1FC7"/>
    <w:rsid w:val="008F2666"/>
    <w:rsid w:val="008F286E"/>
    <w:rsid w:val="008F2B09"/>
    <w:rsid w:val="008F35B5"/>
    <w:rsid w:val="008F3778"/>
    <w:rsid w:val="008F3817"/>
    <w:rsid w:val="008F4146"/>
    <w:rsid w:val="008F45BE"/>
    <w:rsid w:val="008F4B49"/>
    <w:rsid w:val="008F4BE6"/>
    <w:rsid w:val="008F5026"/>
    <w:rsid w:val="008F5345"/>
    <w:rsid w:val="008F5464"/>
    <w:rsid w:val="008F54C1"/>
    <w:rsid w:val="008F54F0"/>
    <w:rsid w:val="008F5A6E"/>
    <w:rsid w:val="008F5CE6"/>
    <w:rsid w:val="008F60D5"/>
    <w:rsid w:val="008F6214"/>
    <w:rsid w:val="008F62A1"/>
    <w:rsid w:val="008F67C4"/>
    <w:rsid w:val="008F67CF"/>
    <w:rsid w:val="008F6DBC"/>
    <w:rsid w:val="008F6EE6"/>
    <w:rsid w:val="008F71BD"/>
    <w:rsid w:val="008F7378"/>
    <w:rsid w:val="008F773C"/>
    <w:rsid w:val="008F78D6"/>
    <w:rsid w:val="008F79A0"/>
    <w:rsid w:val="0090006C"/>
    <w:rsid w:val="00900B03"/>
    <w:rsid w:val="00901145"/>
    <w:rsid w:val="00901D4A"/>
    <w:rsid w:val="0090234B"/>
    <w:rsid w:val="009023F9"/>
    <w:rsid w:val="0090266F"/>
    <w:rsid w:val="00903515"/>
    <w:rsid w:val="009035B4"/>
    <w:rsid w:val="00903BCA"/>
    <w:rsid w:val="00904598"/>
    <w:rsid w:val="0090527B"/>
    <w:rsid w:val="00905620"/>
    <w:rsid w:val="00905743"/>
    <w:rsid w:val="00905ECE"/>
    <w:rsid w:val="00906333"/>
    <w:rsid w:val="00906371"/>
    <w:rsid w:val="009067C5"/>
    <w:rsid w:val="009067ED"/>
    <w:rsid w:val="00906BCE"/>
    <w:rsid w:val="0090760B"/>
    <w:rsid w:val="00907659"/>
    <w:rsid w:val="0090785F"/>
    <w:rsid w:val="00907923"/>
    <w:rsid w:val="00907EBE"/>
    <w:rsid w:val="009101B1"/>
    <w:rsid w:val="0091063B"/>
    <w:rsid w:val="00911075"/>
    <w:rsid w:val="009113E6"/>
    <w:rsid w:val="0091177F"/>
    <w:rsid w:val="00911945"/>
    <w:rsid w:val="00911DAF"/>
    <w:rsid w:val="00912637"/>
    <w:rsid w:val="00912804"/>
    <w:rsid w:val="00912A27"/>
    <w:rsid w:val="00912A5B"/>
    <w:rsid w:val="00912A6C"/>
    <w:rsid w:val="00912DA6"/>
    <w:rsid w:val="00912DC5"/>
    <w:rsid w:val="009138B1"/>
    <w:rsid w:val="009139C5"/>
    <w:rsid w:val="00913CD1"/>
    <w:rsid w:val="00913D57"/>
    <w:rsid w:val="00913DE6"/>
    <w:rsid w:val="009144AF"/>
    <w:rsid w:val="009148D3"/>
    <w:rsid w:val="00914B4C"/>
    <w:rsid w:val="00915595"/>
    <w:rsid w:val="00915752"/>
    <w:rsid w:val="00915B47"/>
    <w:rsid w:val="00915D5A"/>
    <w:rsid w:val="00915E0D"/>
    <w:rsid w:val="00916472"/>
    <w:rsid w:val="0091685C"/>
    <w:rsid w:val="00916D7B"/>
    <w:rsid w:val="00916DF0"/>
    <w:rsid w:val="00916E29"/>
    <w:rsid w:val="0091705E"/>
    <w:rsid w:val="00917223"/>
    <w:rsid w:val="0092034C"/>
    <w:rsid w:val="009207E8"/>
    <w:rsid w:val="00920943"/>
    <w:rsid w:val="0092105F"/>
    <w:rsid w:val="009214A4"/>
    <w:rsid w:val="0092153C"/>
    <w:rsid w:val="009215E6"/>
    <w:rsid w:val="00921E3B"/>
    <w:rsid w:val="009221D3"/>
    <w:rsid w:val="009225DB"/>
    <w:rsid w:val="0092328E"/>
    <w:rsid w:val="0092330C"/>
    <w:rsid w:val="00923568"/>
    <w:rsid w:val="009237C2"/>
    <w:rsid w:val="0092380A"/>
    <w:rsid w:val="00923902"/>
    <w:rsid w:val="009239E8"/>
    <w:rsid w:val="00923F5A"/>
    <w:rsid w:val="00924235"/>
    <w:rsid w:val="0092476E"/>
    <w:rsid w:val="00925205"/>
    <w:rsid w:val="009253D8"/>
    <w:rsid w:val="009257EF"/>
    <w:rsid w:val="00926664"/>
    <w:rsid w:val="009267EF"/>
    <w:rsid w:val="009268FC"/>
    <w:rsid w:val="00926A7D"/>
    <w:rsid w:val="00926F3B"/>
    <w:rsid w:val="009272DD"/>
    <w:rsid w:val="009278CF"/>
    <w:rsid w:val="00927921"/>
    <w:rsid w:val="009279CD"/>
    <w:rsid w:val="00927A35"/>
    <w:rsid w:val="00927C3C"/>
    <w:rsid w:val="00927E1F"/>
    <w:rsid w:val="00930096"/>
    <w:rsid w:val="00930D87"/>
    <w:rsid w:val="00931089"/>
    <w:rsid w:val="0093111B"/>
    <w:rsid w:val="0093178B"/>
    <w:rsid w:val="0093218B"/>
    <w:rsid w:val="00932612"/>
    <w:rsid w:val="0093266A"/>
    <w:rsid w:val="0093278B"/>
    <w:rsid w:val="00932822"/>
    <w:rsid w:val="00932828"/>
    <w:rsid w:val="009332E8"/>
    <w:rsid w:val="00933575"/>
    <w:rsid w:val="009338F8"/>
    <w:rsid w:val="00933DEB"/>
    <w:rsid w:val="00933EF0"/>
    <w:rsid w:val="009346B6"/>
    <w:rsid w:val="009348D9"/>
    <w:rsid w:val="00934C4D"/>
    <w:rsid w:val="00934C4F"/>
    <w:rsid w:val="009350C6"/>
    <w:rsid w:val="00935349"/>
    <w:rsid w:val="009353FA"/>
    <w:rsid w:val="009354D9"/>
    <w:rsid w:val="00935FEA"/>
    <w:rsid w:val="009365A5"/>
    <w:rsid w:val="00936F59"/>
    <w:rsid w:val="009370CE"/>
    <w:rsid w:val="00937272"/>
    <w:rsid w:val="00937317"/>
    <w:rsid w:val="009377C0"/>
    <w:rsid w:val="00937A99"/>
    <w:rsid w:val="009400BF"/>
    <w:rsid w:val="009409B6"/>
    <w:rsid w:val="00940B15"/>
    <w:rsid w:val="00940ED8"/>
    <w:rsid w:val="00941464"/>
    <w:rsid w:val="009414D7"/>
    <w:rsid w:val="009419CD"/>
    <w:rsid w:val="00941CB7"/>
    <w:rsid w:val="00942428"/>
    <w:rsid w:val="009429C4"/>
    <w:rsid w:val="00942C22"/>
    <w:rsid w:val="00942D96"/>
    <w:rsid w:val="00943159"/>
    <w:rsid w:val="009434B9"/>
    <w:rsid w:val="009434CE"/>
    <w:rsid w:val="009435BC"/>
    <w:rsid w:val="00943BC3"/>
    <w:rsid w:val="009444C2"/>
    <w:rsid w:val="00944673"/>
    <w:rsid w:val="00944751"/>
    <w:rsid w:val="009447E3"/>
    <w:rsid w:val="00944A91"/>
    <w:rsid w:val="0094500A"/>
    <w:rsid w:val="0094597B"/>
    <w:rsid w:val="00945C5A"/>
    <w:rsid w:val="00945F66"/>
    <w:rsid w:val="009462F5"/>
    <w:rsid w:val="0094635A"/>
    <w:rsid w:val="00946462"/>
    <w:rsid w:val="00946606"/>
    <w:rsid w:val="0094682C"/>
    <w:rsid w:val="009470DE"/>
    <w:rsid w:val="00947464"/>
    <w:rsid w:val="00947777"/>
    <w:rsid w:val="00947907"/>
    <w:rsid w:val="00947A68"/>
    <w:rsid w:val="00947D22"/>
    <w:rsid w:val="00950670"/>
    <w:rsid w:val="00952349"/>
    <w:rsid w:val="009529A0"/>
    <w:rsid w:val="00952E84"/>
    <w:rsid w:val="009530AE"/>
    <w:rsid w:val="00953574"/>
    <w:rsid w:val="0095371E"/>
    <w:rsid w:val="00953A30"/>
    <w:rsid w:val="0095418D"/>
    <w:rsid w:val="009543FF"/>
    <w:rsid w:val="00954A20"/>
    <w:rsid w:val="009551A2"/>
    <w:rsid w:val="009554F2"/>
    <w:rsid w:val="0095563D"/>
    <w:rsid w:val="0095568E"/>
    <w:rsid w:val="00955C65"/>
    <w:rsid w:val="00955E81"/>
    <w:rsid w:val="009564D1"/>
    <w:rsid w:val="00957622"/>
    <w:rsid w:val="00957CF8"/>
    <w:rsid w:val="00957EC2"/>
    <w:rsid w:val="0096028C"/>
    <w:rsid w:val="00960563"/>
    <w:rsid w:val="00960791"/>
    <w:rsid w:val="00960A3D"/>
    <w:rsid w:val="00960EA8"/>
    <w:rsid w:val="00960FA5"/>
    <w:rsid w:val="00961218"/>
    <w:rsid w:val="009613C1"/>
    <w:rsid w:val="009614F1"/>
    <w:rsid w:val="0096165E"/>
    <w:rsid w:val="009616E2"/>
    <w:rsid w:val="00961B9C"/>
    <w:rsid w:val="009622F3"/>
    <w:rsid w:val="00962304"/>
    <w:rsid w:val="00962B6C"/>
    <w:rsid w:val="0096301A"/>
    <w:rsid w:val="0096313F"/>
    <w:rsid w:val="00963479"/>
    <w:rsid w:val="00964337"/>
    <w:rsid w:val="00964389"/>
    <w:rsid w:val="00964467"/>
    <w:rsid w:val="009650EF"/>
    <w:rsid w:val="00965331"/>
    <w:rsid w:val="00966052"/>
    <w:rsid w:val="009661D0"/>
    <w:rsid w:val="00966C36"/>
    <w:rsid w:val="00967139"/>
    <w:rsid w:val="0096727A"/>
    <w:rsid w:val="00967773"/>
    <w:rsid w:val="0096781B"/>
    <w:rsid w:val="00967D09"/>
    <w:rsid w:val="00970377"/>
    <w:rsid w:val="00970392"/>
    <w:rsid w:val="00970FC6"/>
    <w:rsid w:val="0097157E"/>
    <w:rsid w:val="00971A21"/>
    <w:rsid w:val="00971B81"/>
    <w:rsid w:val="00972054"/>
    <w:rsid w:val="00972C44"/>
    <w:rsid w:val="009733AE"/>
    <w:rsid w:val="00973545"/>
    <w:rsid w:val="00973CBA"/>
    <w:rsid w:val="00973F8E"/>
    <w:rsid w:val="0097465C"/>
    <w:rsid w:val="009746F4"/>
    <w:rsid w:val="00975A9A"/>
    <w:rsid w:val="0097673A"/>
    <w:rsid w:val="00976F7F"/>
    <w:rsid w:val="009770CC"/>
    <w:rsid w:val="0097764F"/>
    <w:rsid w:val="00977ABA"/>
    <w:rsid w:val="00980128"/>
    <w:rsid w:val="009801FC"/>
    <w:rsid w:val="0098098C"/>
    <w:rsid w:val="00980EBD"/>
    <w:rsid w:val="009826D9"/>
    <w:rsid w:val="00983533"/>
    <w:rsid w:val="0098373B"/>
    <w:rsid w:val="0098393E"/>
    <w:rsid w:val="00983943"/>
    <w:rsid w:val="00983BF4"/>
    <w:rsid w:val="00983EBA"/>
    <w:rsid w:val="00983F8E"/>
    <w:rsid w:val="00984696"/>
    <w:rsid w:val="009846F6"/>
    <w:rsid w:val="00984892"/>
    <w:rsid w:val="00984D31"/>
    <w:rsid w:val="00984D7A"/>
    <w:rsid w:val="00984EE1"/>
    <w:rsid w:val="00984F46"/>
    <w:rsid w:val="009850B8"/>
    <w:rsid w:val="00985C15"/>
    <w:rsid w:val="00985F89"/>
    <w:rsid w:val="00986457"/>
    <w:rsid w:val="00986530"/>
    <w:rsid w:val="00986A78"/>
    <w:rsid w:val="00987332"/>
    <w:rsid w:val="0098777E"/>
    <w:rsid w:val="00987B7F"/>
    <w:rsid w:val="00987C13"/>
    <w:rsid w:val="0099008A"/>
    <w:rsid w:val="00990411"/>
    <w:rsid w:val="00990413"/>
    <w:rsid w:val="009906A4"/>
    <w:rsid w:val="00990EE0"/>
    <w:rsid w:val="00990FC4"/>
    <w:rsid w:val="009911FD"/>
    <w:rsid w:val="0099178E"/>
    <w:rsid w:val="00991CCA"/>
    <w:rsid w:val="00992C96"/>
    <w:rsid w:val="00993226"/>
    <w:rsid w:val="0099322F"/>
    <w:rsid w:val="00993A68"/>
    <w:rsid w:val="00993DE6"/>
    <w:rsid w:val="009945B3"/>
    <w:rsid w:val="00994831"/>
    <w:rsid w:val="00994CC6"/>
    <w:rsid w:val="00995180"/>
    <w:rsid w:val="00995427"/>
    <w:rsid w:val="0099549A"/>
    <w:rsid w:val="00995CEA"/>
    <w:rsid w:val="00995D5B"/>
    <w:rsid w:val="00995F52"/>
    <w:rsid w:val="009964BA"/>
    <w:rsid w:val="0099653D"/>
    <w:rsid w:val="009967CC"/>
    <w:rsid w:val="00996DE6"/>
    <w:rsid w:val="00997235"/>
    <w:rsid w:val="00997540"/>
    <w:rsid w:val="009976BD"/>
    <w:rsid w:val="00997F4F"/>
    <w:rsid w:val="009A09B7"/>
    <w:rsid w:val="009A0ECF"/>
    <w:rsid w:val="009A1119"/>
    <w:rsid w:val="009A1369"/>
    <w:rsid w:val="009A1547"/>
    <w:rsid w:val="009A177E"/>
    <w:rsid w:val="009A1A84"/>
    <w:rsid w:val="009A28BA"/>
    <w:rsid w:val="009A2FDC"/>
    <w:rsid w:val="009A35B0"/>
    <w:rsid w:val="009A35CA"/>
    <w:rsid w:val="009A4096"/>
    <w:rsid w:val="009A4B84"/>
    <w:rsid w:val="009A4E1D"/>
    <w:rsid w:val="009A5151"/>
    <w:rsid w:val="009A58B0"/>
    <w:rsid w:val="009A5D7A"/>
    <w:rsid w:val="009A5F87"/>
    <w:rsid w:val="009A5F8E"/>
    <w:rsid w:val="009A62F4"/>
    <w:rsid w:val="009A6C43"/>
    <w:rsid w:val="009A6F6B"/>
    <w:rsid w:val="009A6FFE"/>
    <w:rsid w:val="009A774C"/>
    <w:rsid w:val="009A7C0B"/>
    <w:rsid w:val="009A7CE0"/>
    <w:rsid w:val="009A7CFC"/>
    <w:rsid w:val="009B008F"/>
    <w:rsid w:val="009B0233"/>
    <w:rsid w:val="009B043E"/>
    <w:rsid w:val="009B06CF"/>
    <w:rsid w:val="009B0B9C"/>
    <w:rsid w:val="009B0BCE"/>
    <w:rsid w:val="009B0BD8"/>
    <w:rsid w:val="009B0BF5"/>
    <w:rsid w:val="009B1134"/>
    <w:rsid w:val="009B1990"/>
    <w:rsid w:val="009B377B"/>
    <w:rsid w:val="009B3A98"/>
    <w:rsid w:val="009B3D5F"/>
    <w:rsid w:val="009B446F"/>
    <w:rsid w:val="009B4F17"/>
    <w:rsid w:val="009B4F9E"/>
    <w:rsid w:val="009B4FE5"/>
    <w:rsid w:val="009B5A8F"/>
    <w:rsid w:val="009B5D53"/>
    <w:rsid w:val="009B6113"/>
    <w:rsid w:val="009B6501"/>
    <w:rsid w:val="009B6C22"/>
    <w:rsid w:val="009B6EFC"/>
    <w:rsid w:val="009B73AE"/>
    <w:rsid w:val="009B7771"/>
    <w:rsid w:val="009B78A4"/>
    <w:rsid w:val="009B7E53"/>
    <w:rsid w:val="009B7F61"/>
    <w:rsid w:val="009C015B"/>
    <w:rsid w:val="009C01BD"/>
    <w:rsid w:val="009C01DD"/>
    <w:rsid w:val="009C06CE"/>
    <w:rsid w:val="009C1390"/>
    <w:rsid w:val="009C15E8"/>
    <w:rsid w:val="009C16CD"/>
    <w:rsid w:val="009C17E5"/>
    <w:rsid w:val="009C1A1A"/>
    <w:rsid w:val="009C22D6"/>
    <w:rsid w:val="009C2581"/>
    <w:rsid w:val="009C28A4"/>
    <w:rsid w:val="009C2B38"/>
    <w:rsid w:val="009C30CF"/>
    <w:rsid w:val="009C3444"/>
    <w:rsid w:val="009C385C"/>
    <w:rsid w:val="009C3C1A"/>
    <w:rsid w:val="009C4096"/>
    <w:rsid w:val="009C4947"/>
    <w:rsid w:val="009C4C59"/>
    <w:rsid w:val="009C5383"/>
    <w:rsid w:val="009C539A"/>
    <w:rsid w:val="009C53D5"/>
    <w:rsid w:val="009C5643"/>
    <w:rsid w:val="009C5B64"/>
    <w:rsid w:val="009C5E7B"/>
    <w:rsid w:val="009C6040"/>
    <w:rsid w:val="009C6BF6"/>
    <w:rsid w:val="009C6C0E"/>
    <w:rsid w:val="009C6C69"/>
    <w:rsid w:val="009C6D9F"/>
    <w:rsid w:val="009C7264"/>
    <w:rsid w:val="009C72FB"/>
    <w:rsid w:val="009C7783"/>
    <w:rsid w:val="009C7897"/>
    <w:rsid w:val="009C7BC8"/>
    <w:rsid w:val="009D032A"/>
    <w:rsid w:val="009D04C7"/>
    <w:rsid w:val="009D05F9"/>
    <w:rsid w:val="009D08B1"/>
    <w:rsid w:val="009D0ADE"/>
    <w:rsid w:val="009D0B13"/>
    <w:rsid w:val="009D20E0"/>
    <w:rsid w:val="009D315F"/>
    <w:rsid w:val="009D33C3"/>
    <w:rsid w:val="009D3A1D"/>
    <w:rsid w:val="009D3FF3"/>
    <w:rsid w:val="009D424A"/>
    <w:rsid w:val="009D471A"/>
    <w:rsid w:val="009D4D91"/>
    <w:rsid w:val="009D4EFF"/>
    <w:rsid w:val="009D5361"/>
    <w:rsid w:val="009D564A"/>
    <w:rsid w:val="009D641B"/>
    <w:rsid w:val="009D67EF"/>
    <w:rsid w:val="009D6D1E"/>
    <w:rsid w:val="009D6E84"/>
    <w:rsid w:val="009D73F2"/>
    <w:rsid w:val="009D7B22"/>
    <w:rsid w:val="009D7E09"/>
    <w:rsid w:val="009E00C8"/>
    <w:rsid w:val="009E04D4"/>
    <w:rsid w:val="009E0708"/>
    <w:rsid w:val="009E095D"/>
    <w:rsid w:val="009E100C"/>
    <w:rsid w:val="009E1296"/>
    <w:rsid w:val="009E1888"/>
    <w:rsid w:val="009E19E0"/>
    <w:rsid w:val="009E1E01"/>
    <w:rsid w:val="009E22FD"/>
    <w:rsid w:val="009E2416"/>
    <w:rsid w:val="009E2AC9"/>
    <w:rsid w:val="009E2B1B"/>
    <w:rsid w:val="009E2FF5"/>
    <w:rsid w:val="009E3D4A"/>
    <w:rsid w:val="009E4841"/>
    <w:rsid w:val="009E4D8C"/>
    <w:rsid w:val="009E4FC9"/>
    <w:rsid w:val="009E561F"/>
    <w:rsid w:val="009E6502"/>
    <w:rsid w:val="009E655A"/>
    <w:rsid w:val="009E6EA2"/>
    <w:rsid w:val="009E79A0"/>
    <w:rsid w:val="009E7ABF"/>
    <w:rsid w:val="009F000F"/>
    <w:rsid w:val="009F0146"/>
    <w:rsid w:val="009F1934"/>
    <w:rsid w:val="009F1B0D"/>
    <w:rsid w:val="009F1F30"/>
    <w:rsid w:val="009F224F"/>
    <w:rsid w:val="009F2467"/>
    <w:rsid w:val="009F2A02"/>
    <w:rsid w:val="009F2A77"/>
    <w:rsid w:val="009F3414"/>
    <w:rsid w:val="009F368A"/>
    <w:rsid w:val="009F3D2F"/>
    <w:rsid w:val="009F3FBC"/>
    <w:rsid w:val="009F446F"/>
    <w:rsid w:val="009F4515"/>
    <w:rsid w:val="009F4BB8"/>
    <w:rsid w:val="009F5231"/>
    <w:rsid w:val="009F587F"/>
    <w:rsid w:val="009F59B1"/>
    <w:rsid w:val="009F5CDC"/>
    <w:rsid w:val="009F5D43"/>
    <w:rsid w:val="009F6020"/>
    <w:rsid w:val="009F6877"/>
    <w:rsid w:val="009F6893"/>
    <w:rsid w:val="009F6DAD"/>
    <w:rsid w:val="009F6FCB"/>
    <w:rsid w:val="009F70F9"/>
    <w:rsid w:val="009F7710"/>
    <w:rsid w:val="009F7CAC"/>
    <w:rsid w:val="00A002FD"/>
    <w:rsid w:val="00A0046D"/>
    <w:rsid w:val="00A01161"/>
    <w:rsid w:val="00A012BB"/>
    <w:rsid w:val="00A014C3"/>
    <w:rsid w:val="00A0171C"/>
    <w:rsid w:val="00A01A51"/>
    <w:rsid w:val="00A01A6F"/>
    <w:rsid w:val="00A0260A"/>
    <w:rsid w:val="00A0268A"/>
    <w:rsid w:val="00A02AE2"/>
    <w:rsid w:val="00A032D3"/>
    <w:rsid w:val="00A038CC"/>
    <w:rsid w:val="00A044A1"/>
    <w:rsid w:val="00A05136"/>
    <w:rsid w:val="00A05F06"/>
    <w:rsid w:val="00A06219"/>
    <w:rsid w:val="00A0757A"/>
    <w:rsid w:val="00A075A3"/>
    <w:rsid w:val="00A0763F"/>
    <w:rsid w:val="00A07AB9"/>
    <w:rsid w:val="00A07AE9"/>
    <w:rsid w:val="00A07B29"/>
    <w:rsid w:val="00A1024C"/>
    <w:rsid w:val="00A102B1"/>
    <w:rsid w:val="00A1096A"/>
    <w:rsid w:val="00A109A0"/>
    <w:rsid w:val="00A10E5C"/>
    <w:rsid w:val="00A11547"/>
    <w:rsid w:val="00A115E1"/>
    <w:rsid w:val="00A11911"/>
    <w:rsid w:val="00A11A8E"/>
    <w:rsid w:val="00A11DBB"/>
    <w:rsid w:val="00A12169"/>
    <w:rsid w:val="00A122B0"/>
    <w:rsid w:val="00A122BF"/>
    <w:rsid w:val="00A12FAC"/>
    <w:rsid w:val="00A1321B"/>
    <w:rsid w:val="00A133FF"/>
    <w:rsid w:val="00A1393D"/>
    <w:rsid w:val="00A13CA8"/>
    <w:rsid w:val="00A13E0A"/>
    <w:rsid w:val="00A13FEF"/>
    <w:rsid w:val="00A14012"/>
    <w:rsid w:val="00A147EB"/>
    <w:rsid w:val="00A14992"/>
    <w:rsid w:val="00A14D22"/>
    <w:rsid w:val="00A14D61"/>
    <w:rsid w:val="00A14DF6"/>
    <w:rsid w:val="00A1576A"/>
    <w:rsid w:val="00A157AC"/>
    <w:rsid w:val="00A158D2"/>
    <w:rsid w:val="00A1660B"/>
    <w:rsid w:val="00A16640"/>
    <w:rsid w:val="00A16855"/>
    <w:rsid w:val="00A168F1"/>
    <w:rsid w:val="00A169B3"/>
    <w:rsid w:val="00A17464"/>
    <w:rsid w:val="00A1783D"/>
    <w:rsid w:val="00A178DB"/>
    <w:rsid w:val="00A2001F"/>
    <w:rsid w:val="00A20098"/>
    <w:rsid w:val="00A200FD"/>
    <w:rsid w:val="00A206A9"/>
    <w:rsid w:val="00A20828"/>
    <w:rsid w:val="00A20D6C"/>
    <w:rsid w:val="00A21058"/>
    <w:rsid w:val="00A21148"/>
    <w:rsid w:val="00A21583"/>
    <w:rsid w:val="00A219FD"/>
    <w:rsid w:val="00A21D83"/>
    <w:rsid w:val="00A2205A"/>
    <w:rsid w:val="00A2239A"/>
    <w:rsid w:val="00A22F58"/>
    <w:rsid w:val="00A23263"/>
    <w:rsid w:val="00A23358"/>
    <w:rsid w:val="00A2369F"/>
    <w:rsid w:val="00A23A9F"/>
    <w:rsid w:val="00A24335"/>
    <w:rsid w:val="00A247C5"/>
    <w:rsid w:val="00A24BBA"/>
    <w:rsid w:val="00A24CB8"/>
    <w:rsid w:val="00A24E81"/>
    <w:rsid w:val="00A24F45"/>
    <w:rsid w:val="00A252AE"/>
    <w:rsid w:val="00A253AC"/>
    <w:rsid w:val="00A257D1"/>
    <w:rsid w:val="00A25DEF"/>
    <w:rsid w:val="00A26093"/>
    <w:rsid w:val="00A26170"/>
    <w:rsid w:val="00A26177"/>
    <w:rsid w:val="00A26323"/>
    <w:rsid w:val="00A263EB"/>
    <w:rsid w:val="00A26A18"/>
    <w:rsid w:val="00A26A4C"/>
    <w:rsid w:val="00A2709E"/>
    <w:rsid w:val="00A27142"/>
    <w:rsid w:val="00A2752C"/>
    <w:rsid w:val="00A27792"/>
    <w:rsid w:val="00A27896"/>
    <w:rsid w:val="00A30290"/>
    <w:rsid w:val="00A3053B"/>
    <w:rsid w:val="00A30613"/>
    <w:rsid w:val="00A30AA2"/>
    <w:rsid w:val="00A31DBF"/>
    <w:rsid w:val="00A31E63"/>
    <w:rsid w:val="00A32465"/>
    <w:rsid w:val="00A32625"/>
    <w:rsid w:val="00A331C8"/>
    <w:rsid w:val="00A3330A"/>
    <w:rsid w:val="00A3374E"/>
    <w:rsid w:val="00A337C0"/>
    <w:rsid w:val="00A33B0C"/>
    <w:rsid w:val="00A33BD1"/>
    <w:rsid w:val="00A33FED"/>
    <w:rsid w:val="00A3414F"/>
    <w:rsid w:val="00A348A3"/>
    <w:rsid w:val="00A3499F"/>
    <w:rsid w:val="00A3558D"/>
    <w:rsid w:val="00A35BDE"/>
    <w:rsid w:val="00A35E05"/>
    <w:rsid w:val="00A35E90"/>
    <w:rsid w:val="00A35F5A"/>
    <w:rsid w:val="00A35FE9"/>
    <w:rsid w:val="00A369EF"/>
    <w:rsid w:val="00A37007"/>
    <w:rsid w:val="00A37866"/>
    <w:rsid w:val="00A37999"/>
    <w:rsid w:val="00A379C7"/>
    <w:rsid w:val="00A37C7C"/>
    <w:rsid w:val="00A408C8"/>
    <w:rsid w:val="00A40BAA"/>
    <w:rsid w:val="00A40F85"/>
    <w:rsid w:val="00A40F94"/>
    <w:rsid w:val="00A41924"/>
    <w:rsid w:val="00A41A3C"/>
    <w:rsid w:val="00A423B0"/>
    <w:rsid w:val="00A42667"/>
    <w:rsid w:val="00A42F5B"/>
    <w:rsid w:val="00A431BA"/>
    <w:rsid w:val="00A43499"/>
    <w:rsid w:val="00A43EC7"/>
    <w:rsid w:val="00A44216"/>
    <w:rsid w:val="00A44409"/>
    <w:rsid w:val="00A4457E"/>
    <w:rsid w:val="00A44871"/>
    <w:rsid w:val="00A44E6D"/>
    <w:rsid w:val="00A45015"/>
    <w:rsid w:val="00A4505B"/>
    <w:rsid w:val="00A4537B"/>
    <w:rsid w:val="00A453B0"/>
    <w:rsid w:val="00A454FC"/>
    <w:rsid w:val="00A4565F"/>
    <w:rsid w:val="00A45846"/>
    <w:rsid w:val="00A45EF0"/>
    <w:rsid w:val="00A45F6E"/>
    <w:rsid w:val="00A46195"/>
    <w:rsid w:val="00A46A4C"/>
    <w:rsid w:val="00A46E0B"/>
    <w:rsid w:val="00A4766A"/>
    <w:rsid w:val="00A502BA"/>
    <w:rsid w:val="00A50371"/>
    <w:rsid w:val="00A505C0"/>
    <w:rsid w:val="00A5060F"/>
    <w:rsid w:val="00A50660"/>
    <w:rsid w:val="00A50681"/>
    <w:rsid w:val="00A5082F"/>
    <w:rsid w:val="00A508DC"/>
    <w:rsid w:val="00A510DE"/>
    <w:rsid w:val="00A51B2A"/>
    <w:rsid w:val="00A51B53"/>
    <w:rsid w:val="00A521C1"/>
    <w:rsid w:val="00A522B0"/>
    <w:rsid w:val="00A5235B"/>
    <w:rsid w:val="00A52966"/>
    <w:rsid w:val="00A52B98"/>
    <w:rsid w:val="00A5372B"/>
    <w:rsid w:val="00A545BF"/>
    <w:rsid w:val="00A54B50"/>
    <w:rsid w:val="00A54D6B"/>
    <w:rsid w:val="00A550B8"/>
    <w:rsid w:val="00A55A10"/>
    <w:rsid w:val="00A55DC8"/>
    <w:rsid w:val="00A55ED3"/>
    <w:rsid w:val="00A5632B"/>
    <w:rsid w:val="00A563D3"/>
    <w:rsid w:val="00A56579"/>
    <w:rsid w:val="00A56726"/>
    <w:rsid w:val="00A56765"/>
    <w:rsid w:val="00A56AC5"/>
    <w:rsid w:val="00A574F0"/>
    <w:rsid w:val="00A57755"/>
    <w:rsid w:val="00A57B63"/>
    <w:rsid w:val="00A57BA9"/>
    <w:rsid w:val="00A60132"/>
    <w:rsid w:val="00A60218"/>
    <w:rsid w:val="00A60811"/>
    <w:rsid w:val="00A60939"/>
    <w:rsid w:val="00A60A0F"/>
    <w:rsid w:val="00A60A69"/>
    <w:rsid w:val="00A617E7"/>
    <w:rsid w:val="00A619F3"/>
    <w:rsid w:val="00A61DC9"/>
    <w:rsid w:val="00A61F1E"/>
    <w:rsid w:val="00A61F43"/>
    <w:rsid w:val="00A62ED1"/>
    <w:rsid w:val="00A633E0"/>
    <w:rsid w:val="00A63601"/>
    <w:rsid w:val="00A63B2D"/>
    <w:rsid w:val="00A63D29"/>
    <w:rsid w:val="00A6404F"/>
    <w:rsid w:val="00A640B5"/>
    <w:rsid w:val="00A64426"/>
    <w:rsid w:val="00A64468"/>
    <w:rsid w:val="00A64728"/>
    <w:rsid w:val="00A64904"/>
    <w:rsid w:val="00A64C1C"/>
    <w:rsid w:val="00A64CBA"/>
    <w:rsid w:val="00A64E4E"/>
    <w:rsid w:val="00A659D8"/>
    <w:rsid w:val="00A65AFA"/>
    <w:rsid w:val="00A65B38"/>
    <w:rsid w:val="00A65E89"/>
    <w:rsid w:val="00A66603"/>
    <w:rsid w:val="00A66D4C"/>
    <w:rsid w:val="00A67379"/>
    <w:rsid w:val="00A67676"/>
    <w:rsid w:val="00A67A4B"/>
    <w:rsid w:val="00A67BCA"/>
    <w:rsid w:val="00A67CCE"/>
    <w:rsid w:val="00A70EBC"/>
    <w:rsid w:val="00A70FE3"/>
    <w:rsid w:val="00A710D0"/>
    <w:rsid w:val="00A7118D"/>
    <w:rsid w:val="00A71339"/>
    <w:rsid w:val="00A7135B"/>
    <w:rsid w:val="00A71759"/>
    <w:rsid w:val="00A71A83"/>
    <w:rsid w:val="00A72091"/>
    <w:rsid w:val="00A723BF"/>
    <w:rsid w:val="00A72469"/>
    <w:rsid w:val="00A72829"/>
    <w:rsid w:val="00A72BFA"/>
    <w:rsid w:val="00A72CAF"/>
    <w:rsid w:val="00A730EA"/>
    <w:rsid w:val="00A73139"/>
    <w:rsid w:val="00A7374F"/>
    <w:rsid w:val="00A73894"/>
    <w:rsid w:val="00A73993"/>
    <w:rsid w:val="00A73BB9"/>
    <w:rsid w:val="00A73F82"/>
    <w:rsid w:val="00A742B1"/>
    <w:rsid w:val="00A74CDF"/>
    <w:rsid w:val="00A75408"/>
    <w:rsid w:val="00A75598"/>
    <w:rsid w:val="00A756D0"/>
    <w:rsid w:val="00A75BCB"/>
    <w:rsid w:val="00A75CC3"/>
    <w:rsid w:val="00A75F1D"/>
    <w:rsid w:val="00A75F8C"/>
    <w:rsid w:val="00A761CF"/>
    <w:rsid w:val="00A7631D"/>
    <w:rsid w:val="00A7667E"/>
    <w:rsid w:val="00A76D19"/>
    <w:rsid w:val="00A775E6"/>
    <w:rsid w:val="00A7768F"/>
    <w:rsid w:val="00A7771D"/>
    <w:rsid w:val="00A806C6"/>
    <w:rsid w:val="00A80BF6"/>
    <w:rsid w:val="00A80E98"/>
    <w:rsid w:val="00A81694"/>
    <w:rsid w:val="00A817CD"/>
    <w:rsid w:val="00A818A0"/>
    <w:rsid w:val="00A81935"/>
    <w:rsid w:val="00A82113"/>
    <w:rsid w:val="00A825A5"/>
    <w:rsid w:val="00A82899"/>
    <w:rsid w:val="00A82D87"/>
    <w:rsid w:val="00A83251"/>
    <w:rsid w:val="00A83ACB"/>
    <w:rsid w:val="00A844C2"/>
    <w:rsid w:val="00A84BBC"/>
    <w:rsid w:val="00A85698"/>
    <w:rsid w:val="00A859E4"/>
    <w:rsid w:val="00A85BDC"/>
    <w:rsid w:val="00A85C83"/>
    <w:rsid w:val="00A85CBA"/>
    <w:rsid w:val="00A861BB"/>
    <w:rsid w:val="00A8620B"/>
    <w:rsid w:val="00A866EE"/>
    <w:rsid w:val="00A8686B"/>
    <w:rsid w:val="00A875BA"/>
    <w:rsid w:val="00A875BE"/>
    <w:rsid w:val="00A87D9B"/>
    <w:rsid w:val="00A87DB4"/>
    <w:rsid w:val="00A901A1"/>
    <w:rsid w:val="00A9043C"/>
    <w:rsid w:val="00A90BEF"/>
    <w:rsid w:val="00A90D4F"/>
    <w:rsid w:val="00A90DF4"/>
    <w:rsid w:val="00A9166F"/>
    <w:rsid w:val="00A91DEE"/>
    <w:rsid w:val="00A92531"/>
    <w:rsid w:val="00A92753"/>
    <w:rsid w:val="00A92A1A"/>
    <w:rsid w:val="00A937D2"/>
    <w:rsid w:val="00A94191"/>
    <w:rsid w:val="00A9428C"/>
    <w:rsid w:val="00A94A38"/>
    <w:rsid w:val="00A94E56"/>
    <w:rsid w:val="00A956DD"/>
    <w:rsid w:val="00A95A68"/>
    <w:rsid w:val="00A95ACC"/>
    <w:rsid w:val="00A95F24"/>
    <w:rsid w:val="00A96451"/>
    <w:rsid w:val="00A96524"/>
    <w:rsid w:val="00A9665E"/>
    <w:rsid w:val="00A96673"/>
    <w:rsid w:val="00A96DEB"/>
    <w:rsid w:val="00A96E97"/>
    <w:rsid w:val="00A96F5F"/>
    <w:rsid w:val="00A97168"/>
    <w:rsid w:val="00A9755C"/>
    <w:rsid w:val="00A978CC"/>
    <w:rsid w:val="00A97A15"/>
    <w:rsid w:val="00A97A3F"/>
    <w:rsid w:val="00A97BF0"/>
    <w:rsid w:val="00AA00E4"/>
    <w:rsid w:val="00AA0275"/>
    <w:rsid w:val="00AA04F7"/>
    <w:rsid w:val="00AA06BA"/>
    <w:rsid w:val="00AA0CBC"/>
    <w:rsid w:val="00AA0E60"/>
    <w:rsid w:val="00AA0EF1"/>
    <w:rsid w:val="00AA15D3"/>
    <w:rsid w:val="00AA1639"/>
    <w:rsid w:val="00AA165D"/>
    <w:rsid w:val="00AA1F49"/>
    <w:rsid w:val="00AA21D3"/>
    <w:rsid w:val="00AA2482"/>
    <w:rsid w:val="00AA25C1"/>
    <w:rsid w:val="00AA2EEE"/>
    <w:rsid w:val="00AA31A5"/>
    <w:rsid w:val="00AA3BB3"/>
    <w:rsid w:val="00AA42BD"/>
    <w:rsid w:val="00AA4F20"/>
    <w:rsid w:val="00AA617C"/>
    <w:rsid w:val="00AA626C"/>
    <w:rsid w:val="00AA65C9"/>
    <w:rsid w:val="00AA6BD8"/>
    <w:rsid w:val="00AA7B21"/>
    <w:rsid w:val="00AA7ED7"/>
    <w:rsid w:val="00AA7EE4"/>
    <w:rsid w:val="00AB0537"/>
    <w:rsid w:val="00AB06EC"/>
    <w:rsid w:val="00AB0845"/>
    <w:rsid w:val="00AB08D7"/>
    <w:rsid w:val="00AB0984"/>
    <w:rsid w:val="00AB0DC4"/>
    <w:rsid w:val="00AB0EFB"/>
    <w:rsid w:val="00AB28F6"/>
    <w:rsid w:val="00AB2949"/>
    <w:rsid w:val="00AB2B40"/>
    <w:rsid w:val="00AB2B51"/>
    <w:rsid w:val="00AB2C97"/>
    <w:rsid w:val="00AB304A"/>
    <w:rsid w:val="00AB331C"/>
    <w:rsid w:val="00AB34E3"/>
    <w:rsid w:val="00AB3533"/>
    <w:rsid w:val="00AB354B"/>
    <w:rsid w:val="00AB3B1C"/>
    <w:rsid w:val="00AB3B95"/>
    <w:rsid w:val="00AB45BE"/>
    <w:rsid w:val="00AB4670"/>
    <w:rsid w:val="00AB4835"/>
    <w:rsid w:val="00AB4A4E"/>
    <w:rsid w:val="00AB4CB4"/>
    <w:rsid w:val="00AB4DB7"/>
    <w:rsid w:val="00AB4EBF"/>
    <w:rsid w:val="00AB5709"/>
    <w:rsid w:val="00AB57DC"/>
    <w:rsid w:val="00AB592A"/>
    <w:rsid w:val="00AB5C1D"/>
    <w:rsid w:val="00AB5C38"/>
    <w:rsid w:val="00AB751C"/>
    <w:rsid w:val="00AB7625"/>
    <w:rsid w:val="00AB7910"/>
    <w:rsid w:val="00AB7C8E"/>
    <w:rsid w:val="00AC0214"/>
    <w:rsid w:val="00AC0251"/>
    <w:rsid w:val="00AC0646"/>
    <w:rsid w:val="00AC06D6"/>
    <w:rsid w:val="00AC0996"/>
    <w:rsid w:val="00AC0BA3"/>
    <w:rsid w:val="00AC0E98"/>
    <w:rsid w:val="00AC1341"/>
    <w:rsid w:val="00AC146B"/>
    <w:rsid w:val="00AC1919"/>
    <w:rsid w:val="00AC19A1"/>
    <w:rsid w:val="00AC1FB2"/>
    <w:rsid w:val="00AC24B4"/>
    <w:rsid w:val="00AC2A78"/>
    <w:rsid w:val="00AC2C4C"/>
    <w:rsid w:val="00AC2C5B"/>
    <w:rsid w:val="00AC2D57"/>
    <w:rsid w:val="00AC2DCB"/>
    <w:rsid w:val="00AC3531"/>
    <w:rsid w:val="00AC3665"/>
    <w:rsid w:val="00AC38A9"/>
    <w:rsid w:val="00AC3BC2"/>
    <w:rsid w:val="00AC40CC"/>
    <w:rsid w:val="00AC4122"/>
    <w:rsid w:val="00AC4C3A"/>
    <w:rsid w:val="00AC4DEF"/>
    <w:rsid w:val="00AC4F21"/>
    <w:rsid w:val="00AC4FD5"/>
    <w:rsid w:val="00AC4FF5"/>
    <w:rsid w:val="00AC547E"/>
    <w:rsid w:val="00AC54F6"/>
    <w:rsid w:val="00AC5642"/>
    <w:rsid w:val="00AC61B7"/>
    <w:rsid w:val="00AC6345"/>
    <w:rsid w:val="00AC656B"/>
    <w:rsid w:val="00AC67DD"/>
    <w:rsid w:val="00AC67EA"/>
    <w:rsid w:val="00AC7039"/>
    <w:rsid w:val="00AC7174"/>
    <w:rsid w:val="00AC7595"/>
    <w:rsid w:val="00AC7801"/>
    <w:rsid w:val="00AC79F8"/>
    <w:rsid w:val="00AC7F37"/>
    <w:rsid w:val="00AD004B"/>
    <w:rsid w:val="00AD049F"/>
    <w:rsid w:val="00AD0C1E"/>
    <w:rsid w:val="00AD0E10"/>
    <w:rsid w:val="00AD12B8"/>
    <w:rsid w:val="00AD2D23"/>
    <w:rsid w:val="00AD2DBB"/>
    <w:rsid w:val="00AD2EFE"/>
    <w:rsid w:val="00AD317F"/>
    <w:rsid w:val="00AD4106"/>
    <w:rsid w:val="00AD4620"/>
    <w:rsid w:val="00AD4C1D"/>
    <w:rsid w:val="00AD5BF8"/>
    <w:rsid w:val="00AD5E5E"/>
    <w:rsid w:val="00AD602C"/>
    <w:rsid w:val="00AD6141"/>
    <w:rsid w:val="00AD62A3"/>
    <w:rsid w:val="00AD657D"/>
    <w:rsid w:val="00AD660E"/>
    <w:rsid w:val="00AD6D8B"/>
    <w:rsid w:val="00AD6FA9"/>
    <w:rsid w:val="00AD6FC8"/>
    <w:rsid w:val="00AD739E"/>
    <w:rsid w:val="00AD7C60"/>
    <w:rsid w:val="00AE013C"/>
    <w:rsid w:val="00AE0375"/>
    <w:rsid w:val="00AE044B"/>
    <w:rsid w:val="00AE061D"/>
    <w:rsid w:val="00AE06C9"/>
    <w:rsid w:val="00AE0777"/>
    <w:rsid w:val="00AE0879"/>
    <w:rsid w:val="00AE0B80"/>
    <w:rsid w:val="00AE137C"/>
    <w:rsid w:val="00AE13AD"/>
    <w:rsid w:val="00AE1601"/>
    <w:rsid w:val="00AE18EF"/>
    <w:rsid w:val="00AE20B3"/>
    <w:rsid w:val="00AE228C"/>
    <w:rsid w:val="00AE2757"/>
    <w:rsid w:val="00AE2DB2"/>
    <w:rsid w:val="00AE31F9"/>
    <w:rsid w:val="00AE3435"/>
    <w:rsid w:val="00AE34E1"/>
    <w:rsid w:val="00AE3C76"/>
    <w:rsid w:val="00AE3D7A"/>
    <w:rsid w:val="00AE4060"/>
    <w:rsid w:val="00AE4B0F"/>
    <w:rsid w:val="00AE4F52"/>
    <w:rsid w:val="00AE595C"/>
    <w:rsid w:val="00AE5F79"/>
    <w:rsid w:val="00AE6AA2"/>
    <w:rsid w:val="00AE6CA7"/>
    <w:rsid w:val="00AE7293"/>
    <w:rsid w:val="00AE761B"/>
    <w:rsid w:val="00AF0080"/>
    <w:rsid w:val="00AF020A"/>
    <w:rsid w:val="00AF0365"/>
    <w:rsid w:val="00AF0760"/>
    <w:rsid w:val="00AF0B54"/>
    <w:rsid w:val="00AF0D06"/>
    <w:rsid w:val="00AF0F01"/>
    <w:rsid w:val="00AF1227"/>
    <w:rsid w:val="00AF1AF2"/>
    <w:rsid w:val="00AF1E4E"/>
    <w:rsid w:val="00AF22DA"/>
    <w:rsid w:val="00AF306E"/>
    <w:rsid w:val="00AF3538"/>
    <w:rsid w:val="00AF387E"/>
    <w:rsid w:val="00AF39AD"/>
    <w:rsid w:val="00AF3B0A"/>
    <w:rsid w:val="00AF4055"/>
    <w:rsid w:val="00AF40DB"/>
    <w:rsid w:val="00AF4110"/>
    <w:rsid w:val="00AF45F2"/>
    <w:rsid w:val="00AF4672"/>
    <w:rsid w:val="00AF4A64"/>
    <w:rsid w:val="00AF550D"/>
    <w:rsid w:val="00AF5F2C"/>
    <w:rsid w:val="00AF6052"/>
    <w:rsid w:val="00AF614E"/>
    <w:rsid w:val="00AF638E"/>
    <w:rsid w:val="00AF63CB"/>
    <w:rsid w:val="00AF6717"/>
    <w:rsid w:val="00AF715D"/>
    <w:rsid w:val="00AF7FE0"/>
    <w:rsid w:val="00B001A4"/>
    <w:rsid w:val="00B00499"/>
    <w:rsid w:val="00B006BD"/>
    <w:rsid w:val="00B0084A"/>
    <w:rsid w:val="00B01065"/>
    <w:rsid w:val="00B01112"/>
    <w:rsid w:val="00B024DF"/>
    <w:rsid w:val="00B0257E"/>
    <w:rsid w:val="00B02B74"/>
    <w:rsid w:val="00B035BC"/>
    <w:rsid w:val="00B03661"/>
    <w:rsid w:val="00B03856"/>
    <w:rsid w:val="00B04214"/>
    <w:rsid w:val="00B042C2"/>
    <w:rsid w:val="00B04665"/>
    <w:rsid w:val="00B04C1F"/>
    <w:rsid w:val="00B04C3B"/>
    <w:rsid w:val="00B04F8B"/>
    <w:rsid w:val="00B057B8"/>
    <w:rsid w:val="00B059B9"/>
    <w:rsid w:val="00B0678A"/>
    <w:rsid w:val="00B06859"/>
    <w:rsid w:val="00B06C77"/>
    <w:rsid w:val="00B0744B"/>
    <w:rsid w:val="00B07605"/>
    <w:rsid w:val="00B07B64"/>
    <w:rsid w:val="00B07BB2"/>
    <w:rsid w:val="00B101F3"/>
    <w:rsid w:val="00B10408"/>
    <w:rsid w:val="00B106E2"/>
    <w:rsid w:val="00B1097C"/>
    <w:rsid w:val="00B10DBF"/>
    <w:rsid w:val="00B10E4A"/>
    <w:rsid w:val="00B10FAB"/>
    <w:rsid w:val="00B110B4"/>
    <w:rsid w:val="00B114BF"/>
    <w:rsid w:val="00B116EF"/>
    <w:rsid w:val="00B11861"/>
    <w:rsid w:val="00B126D6"/>
    <w:rsid w:val="00B128F9"/>
    <w:rsid w:val="00B129C4"/>
    <w:rsid w:val="00B12C78"/>
    <w:rsid w:val="00B12EE3"/>
    <w:rsid w:val="00B13500"/>
    <w:rsid w:val="00B1373F"/>
    <w:rsid w:val="00B13C92"/>
    <w:rsid w:val="00B13D65"/>
    <w:rsid w:val="00B14227"/>
    <w:rsid w:val="00B14651"/>
    <w:rsid w:val="00B14738"/>
    <w:rsid w:val="00B14AF7"/>
    <w:rsid w:val="00B14F4E"/>
    <w:rsid w:val="00B15478"/>
    <w:rsid w:val="00B15797"/>
    <w:rsid w:val="00B15A5B"/>
    <w:rsid w:val="00B15B47"/>
    <w:rsid w:val="00B15FC9"/>
    <w:rsid w:val="00B166EB"/>
    <w:rsid w:val="00B168D1"/>
    <w:rsid w:val="00B16D40"/>
    <w:rsid w:val="00B16DA1"/>
    <w:rsid w:val="00B173D9"/>
    <w:rsid w:val="00B1741E"/>
    <w:rsid w:val="00B17F04"/>
    <w:rsid w:val="00B2013D"/>
    <w:rsid w:val="00B20236"/>
    <w:rsid w:val="00B202A7"/>
    <w:rsid w:val="00B20535"/>
    <w:rsid w:val="00B21592"/>
    <w:rsid w:val="00B21CDE"/>
    <w:rsid w:val="00B22497"/>
    <w:rsid w:val="00B22786"/>
    <w:rsid w:val="00B228A5"/>
    <w:rsid w:val="00B238C1"/>
    <w:rsid w:val="00B23E9D"/>
    <w:rsid w:val="00B24054"/>
    <w:rsid w:val="00B240CB"/>
    <w:rsid w:val="00B24453"/>
    <w:rsid w:val="00B244B9"/>
    <w:rsid w:val="00B24B62"/>
    <w:rsid w:val="00B24BE1"/>
    <w:rsid w:val="00B2536C"/>
    <w:rsid w:val="00B25A88"/>
    <w:rsid w:val="00B25D3C"/>
    <w:rsid w:val="00B2602A"/>
    <w:rsid w:val="00B260A5"/>
    <w:rsid w:val="00B2621D"/>
    <w:rsid w:val="00B26A85"/>
    <w:rsid w:val="00B2708A"/>
    <w:rsid w:val="00B27DD2"/>
    <w:rsid w:val="00B317D1"/>
    <w:rsid w:val="00B31CAC"/>
    <w:rsid w:val="00B31E02"/>
    <w:rsid w:val="00B3330F"/>
    <w:rsid w:val="00B334A7"/>
    <w:rsid w:val="00B3359A"/>
    <w:rsid w:val="00B3372F"/>
    <w:rsid w:val="00B337F4"/>
    <w:rsid w:val="00B33B4C"/>
    <w:rsid w:val="00B34F9E"/>
    <w:rsid w:val="00B35048"/>
    <w:rsid w:val="00B35250"/>
    <w:rsid w:val="00B3582D"/>
    <w:rsid w:val="00B35926"/>
    <w:rsid w:val="00B359DB"/>
    <w:rsid w:val="00B35ABB"/>
    <w:rsid w:val="00B35BA6"/>
    <w:rsid w:val="00B361E0"/>
    <w:rsid w:val="00B3675A"/>
    <w:rsid w:val="00B36927"/>
    <w:rsid w:val="00B373FA"/>
    <w:rsid w:val="00B37963"/>
    <w:rsid w:val="00B37C4D"/>
    <w:rsid w:val="00B37D48"/>
    <w:rsid w:val="00B37E43"/>
    <w:rsid w:val="00B40734"/>
    <w:rsid w:val="00B40D66"/>
    <w:rsid w:val="00B410BA"/>
    <w:rsid w:val="00B41511"/>
    <w:rsid w:val="00B41998"/>
    <w:rsid w:val="00B41F4B"/>
    <w:rsid w:val="00B42035"/>
    <w:rsid w:val="00B4240B"/>
    <w:rsid w:val="00B42525"/>
    <w:rsid w:val="00B42526"/>
    <w:rsid w:val="00B42CB3"/>
    <w:rsid w:val="00B42D7C"/>
    <w:rsid w:val="00B42FED"/>
    <w:rsid w:val="00B4322C"/>
    <w:rsid w:val="00B4324C"/>
    <w:rsid w:val="00B43E18"/>
    <w:rsid w:val="00B43E91"/>
    <w:rsid w:val="00B444A9"/>
    <w:rsid w:val="00B44AE5"/>
    <w:rsid w:val="00B44D61"/>
    <w:rsid w:val="00B454F3"/>
    <w:rsid w:val="00B45A17"/>
    <w:rsid w:val="00B45E84"/>
    <w:rsid w:val="00B4650D"/>
    <w:rsid w:val="00B46571"/>
    <w:rsid w:val="00B4657C"/>
    <w:rsid w:val="00B4667D"/>
    <w:rsid w:val="00B466D1"/>
    <w:rsid w:val="00B4683D"/>
    <w:rsid w:val="00B46907"/>
    <w:rsid w:val="00B46B38"/>
    <w:rsid w:val="00B46C0D"/>
    <w:rsid w:val="00B46CC8"/>
    <w:rsid w:val="00B46D06"/>
    <w:rsid w:val="00B47381"/>
    <w:rsid w:val="00B47724"/>
    <w:rsid w:val="00B47839"/>
    <w:rsid w:val="00B47991"/>
    <w:rsid w:val="00B47E30"/>
    <w:rsid w:val="00B506D1"/>
    <w:rsid w:val="00B5074D"/>
    <w:rsid w:val="00B50CE6"/>
    <w:rsid w:val="00B510EC"/>
    <w:rsid w:val="00B5160D"/>
    <w:rsid w:val="00B51656"/>
    <w:rsid w:val="00B51745"/>
    <w:rsid w:val="00B51A4C"/>
    <w:rsid w:val="00B51B65"/>
    <w:rsid w:val="00B51E74"/>
    <w:rsid w:val="00B522E0"/>
    <w:rsid w:val="00B52359"/>
    <w:rsid w:val="00B5250D"/>
    <w:rsid w:val="00B5279D"/>
    <w:rsid w:val="00B52894"/>
    <w:rsid w:val="00B53506"/>
    <w:rsid w:val="00B5350C"/>
    <w:rsid w:val="00B536C4"/>
    <w:rsid w:val="00B53715"/>
    <w:rsid w:val="00B53D25"/>
    <w:rsid w:val="00B53DA1"/>
    <w:rsid w:val="00B53F14"/>
    <w:rsid w:val="00B551C4"/>
    <w:rsid w:val="00B553E8"/>
    <w:rsid w:val="00B554A0"/>
    <w:rsid w:val="00B55A94"/>
    <w:rsid w:val="00B55CD5"/>
    <w:rsid w:val="00B561B3"/>
    <w:rsid w:val="00B57550"/>
    <w:rsid w:val="00B57908"/>
    <w:rsid w:val="00B57CBD"/>
    <w:rsid w:val="00B57DC8"/>
    <w:rsid w:val="00B60447"/>
    <w:rsid w:val="00B60819"/>
    <w:rsid w:val="00B60887"/>
    <w:rsid w:val="00B609E0"/>
    <w:rsid w:val="00B61427"/>
    <w:rsid w:val="00B629E7"/>
    <w:rsid w:val="00B62ABF"/>
    <w:rsid w:val="00B62D32"/>
    <w:rsid w:val="00B63594"/>
    <w:rsid w:val="00B6383A"/>
    <w:rsid w:val="00B638C5"/>
    <w:rsid w:val="00B63E7F"/>
    <w:rsid w:val="00B640A0"/>
    <w:rsid w:val="00B6489E"/>
    <w:rsid w:val="00B6494F"/>
    <w:rsid w:val="00B64A1C"/>
    <w:rsid w:val="00B64E53"/>
    <w:rsid w:val="00B64EF0"/>
    <w:rsid w:val="00B658E6"/>
    <w:rsid w:val="00B6599C"/>
    <w:rsid w:val="00B665EE"/>
    <w:rsid w:val="00B666AB"/>
    <w:rsid w:val="00B66B42"/>
    <w:rsid w:val="00B66E89"/>
    <w:rsid w:val="00B6715C"/>
    <w:rsid w:val="00B677F3"/>
    <w:rsid w:val="00B67C95"/>
    <w:rsid w:val="00B7040F"/>
    <w:rsid w:val="00B709AD"/>
    <w:rsid w:val="00B70ED5"/>
    <w:rsid w:val="00B712A1"/>
    <w:rsid w:val="00B7139C"/>
    <w:rsid w:val="00B7171E"/>
    <w:rsid w:val="00B719F8"/>
    <w:rsid w:val="00B720D1"/>
    <w:rsid w:val="00B7220E"/>
    <w:rsid w:val="00B72C03"/>
    <w:rsid w:val="00B72C33"/>
    <w:rsid w:val="00B72EA2"/>
    <w:rsid w:val="00B72EE3"/>
    <w:rsid w:val="00B72FCB"/>
    <w:rsid w:val="00B73A04"/>
    <w:rsid w:val="00B73C01"/>
    <w:rsid w:val="00B73C54"/>
    <w:rsid w:val="00B74070"/>
    <w:rsid w:val="00B74B48"/>
    <w:rsid w:val="00B74C67"/>
    <w:rsid w:val="00B74C8F"/>
    <w:rsid w:val="00B74DBE"/>
    <w:rsid w:val="00B754A2"/>
    <w:rsid w:val="00B7598D"/>
    <w:rsid w:val="00B75DB6"/>
    <w:rsid w:val="00B75E41"/>
    <w:rsid w:val="00B7631F"/>
    <w:rsid w:val="00B766D8"/>
    <w:rsid w:val="00B76A9D"/>
    <w:rsid w:val="00B77544"/>
    <w:rsid w:val="00B7772A"/>
    <w:rsid w:val="00B77C61"/>
    <w:rsid w:val="00B77DC4"/>
    <w:rsid w:val="00B77F5B"/>
    <w:rsid w:val="00B801B0"/>
    <w:rsid w:val="00B807D8"/>
    <w:rsid w:val="00B8092F"/>
    <w:rsid w:val="00B80F88"/>
    <w:rsid w:val="00B81261"/>
    <w:rsid w:val="00B81987"/>
    <w:rsid w:val="00B81BE4"/>
    <w:rsid w:val="00B81E3B"/>
    <w:rsid w:val="00B8235A"/>
    <w:rsid w:val="00B826F5"/>
    <w:rsid w:val="00B8291A"/>
    <w:rsid w:val="00B82DCD"/>
    <w:rsid w:val="00B83136"/>
    <w:rsid w:val="00B8325C"/>
    <w:rsid w:val="00B83CA3"/>
    <w:rsid w:val="00B83F54"/>
    <w:rsid w:val="00B840C8"/>
    <w:rsid w:val="00B8442C"/>
    <w:rsid w:val="00B855D9"/>
    <w:rsid w:val="00B856BA"/>
    <w:rsid w:val="00B85859"/>
    <w:rsid w:val="00B8600A"/>
    <w:rsid w:val="00B86261"/>
    <w:rsid w:val="00B8639B"/>
    <w:rsid w:val="00B86764"/>
    <w:rsid w:val="00B87561"/>
    <w:rsid w:val="00B87596"/>
    <w:rsid w:val="00B87721"/>
    <w:rsid w:val="00B8772F"/>
    <w:rsid w:val="00B87BA2"/>
    <w:rsid w:val="00B90433"/>
    <w:rsid w:val="00B9061C"/>
    <w:rsid w:val="00B908AA"/>
    <w:rsid w:val="00B90EAE"/>
    <w:rsid w:val="00B90F57"/>
    <w:rsid w:val="00B91894"/>
    <w:rsid w:val="00B91C4A"/>
    <w:rsid w:val="00B91F3B"/>
    <w:rsid w:val="00B9237D"/>
    <w:rsid w:val="00B92E95"/>
    <w:rsid w:val="00B937B5"/>
    <w:rsid w:val="00B938A0"/>
    <w:rsid w:val="00B938BA"/>
    <w:rsid w:val="00B94311"/>
    <w:rsid w:val="00B944CC"/>
    <w:rsid w:val="00B94553"/>
    <w:rsid w:val="00B94B2D"/>
    <w:rsid w:val="00B94D07"/>
    <w:rsid w:val="00B94DDD"/>
    <w:rsid w:val="00B94F7C"/>
    <w:rsid w:val="00B95063"/>
    <w:rsid w:val="00B955DE"/>
    <w:rsid w:val="00B957B1"/>
    <w:rsid w:val="00B95942"/>
    <w:rsid w:val="00B95C5E"/>
    <w:rsid w:val="00B96463"/>
    <w:rsid w:val="00B96A98"/>
    <w:rsid w:val="00B96E45"/>
    <w:rsid w:val="00B96F11"/>
    <w:rsid w:val="00BA09EA"/>
    <w:rsid w:val="00BA0A64"/>
    <w:rsid w:val="00BA0AA5"/>
    <w:rsid w:val="00BA0AE1"/>
    <w:rsid w:val="00BA0DBB"/>
    <w:rsid w:val="00BA1359"/>
    <w:rsid w:val="00BA1B39"/>
    <w:rsid w:val="00BA1DD6"/>
    <w:rsid w:val="00BA2416"/>
    <w:rsid w:val="00BA30C4"/>
    <w:rsid w:val="00BA326A"/>
    <w:rsid w:val="00BA32CB"/>
    <w:rsid w:val="00BA3D4F"/>
    <w:rsid w:val="00BA3E27"/>
    <w:rsid w:val="00BA3FD8"/>
    <w:rsid w:val="00BA41DC"/>
    <w:rsid w:val="00BA4402"/>
    <w:rsid w:val="00BA44A8"/>
    <w:rsid w:val="00BA4DB5"/>
    <w:rsid w:val="00BA56C3"/>
    <w:rsid w:val="00BA65A9"/>
    <w:rsid w:val="00BA6967"/>
    <w:rsid w:val="00BA6983"/>
    <w:rsid w:val="00BA6B44"/>
    <w:rsid w:val="00BA7251"/>
    <w:rsid w:val="00BA7320"/>
    <w:rsid w:val="00BA7712"/>
    <w:rsid w:val="00BA7C0C"/>
    <w:rsid w:val="00BB0503"/>
    <w:rsid w:val="00BB1143"/>
    <w:rsid w:val="00BB115A"/>
    <w:rsid w:val="00BB1A5C"/>
    <w:rsid w:val="00BB1CCC"/>
    <w:rsid w:val="00BB21AA"/>
    <w:rsid w:val="00BB24DB"/>
    <w:rsid w:val="00BB24FE"/>
    <w:rsid w:val="00BB2777"/>
    <w:rsid w:val="00BB2A1B"/>
    <w:rsid w:val="00BB2D69"/>
    <w:rsid w:val="00BB3F8B"/>
    <w:rsid w:val="00BB429F"/>
    <w:rsid w:val="00BB45B7"/>
    <w:rsid w:val="00BB51AE"/>
    <w:rsid w:val="00BB57FA"/>
    <w:rsid w:val="00BB5BE7"/>
    <w:rsid w:val="00BB6025"/>
    <w:rsid w:val="00BB624A"/>
    <w:rsid w:val="00BB63B6"/>
    <w:rsid w:val="00BB64E2"/>
    <w:rsid w:val="00BB653D"/>
    <w:rsid w:val="00BB6A29"/>
    <w:rsid w:val="00BB6E1A"/>
    <w:rsid w:val="00BB731C"/>
    <w:rsid w:val="00BC0016"/>
    <w:rsid w:val="00BC0399"/>
    <w:rsid w:val="00BC0D47"/>
    <w:rsid w:val="00BC1223"/>
    <w:rsid w:val="00BC1278"/>
    <w:rsid w:val="00BC153B"/>
    <w:rsid w:val="00BC1791"/>
    <w:rsid w:val="00BC1DCC"/>
    <w:rsid w:val="00BC2582"/>
    <w:rsid w:val="00BC28E9"/>
    <w:rsid w:val="00BC2C71"/>
    <w:rsid w:val="00BC348F"/>
    <w:rsid w:val="00BC36CF"/>
    <w:rsid w:val="00BC39F8"/>
    <w:rsid w:val="00BC3BA2"/>
    <w:rsid w:val="00BC3CC1"/>
    <w:rsid w:val="00BC47F7"/>
    <w:rsid w:val="00BC4808"/>
    <w:rsid w:val="00BC490A"/>
    <w:rsid w:val="00BC4A08"/>
    <w:rsid w:val="00BC4CE5"/>
    <w:rsid w:val="00BC4CF2"/>
    <w:rsid w:val="00BC4D7B"/>
    <w:rsid w:val="00BC607E"/>
    <w:rsid w:val="00BC637E"/>
    <w:rsid w:val="00BC6401"/>
    <w:rsid w:val="00BC651F"/>
    <w:rsid w:val="00BC6901"/>
    <w:rsid w:val="00BC6A9D"/>
    <w:rsid w:val="00BC6F0A"/>
    <w:rsid w:val="00BC6FD6"/>
    <w:rsid w:val="00BC71B8"/>
    <w:rsid w:val="00BC76B8"/>
    <w:rsid w:val="00BC7F1F"/>
    <w:rsid w:val="00BD0029"/>
    <w:rsid w:val="00BD0A4C"/>
    <w:rsid w:val="00BD0D7D"/>
    <w:rsid w:val="00BD0D96"/>
    <w:rsid w:val="00BD12C4"/>
    <w:rsid w:val="00BD1929"/>
    <w:rsid w:val="00BD2465"/>
    <w:rsid w:val="00BD27E4"/>
    <w:rsid w:val="00BD2DF0"/>
    <w:rsid w:val="00BD31F3"/>
    <w:rsid w:val="00BD3ABB"/>
    <w:rsid w:val="00BD3EAE"/>
    <w:rsid w:val="00BD44C2"/>
    <w:rsid w:val="00BD490F"/>
    <w:rsid w:val="00BD4AA1"/>
    <w:rsid w:val="00BD55C2"/>
    <w:rsid w:val="00BD5716"/>
    <w:rsid w:val="00BD59A6"/>
    <w:rsid w:val="00BD59AA"/>
    <w:rsid w:val="00BD5C11"/>
    <w:rsid w:val="00BD5C90"/>
    <w:rsid w:val="00BD5CD1"/>
    <w:rsid w:val="00BD60F0"/>
    <w:rsid w:val="00BD677F"/>
    <w:rsid w:val="00BD6DA7"/>
    <w:rsid w:val="00BD6EF0"/>
    <w:rsid w:val="00BD6F0B"/>
    <w:rsid w:val="00BD7081"/>
    <w:rsid w:val="00BD718A"/>
    <w:rsid w:val="00BD728B"/>
    <w:rsid w:val="00BD761F"/>
    <w:rsid w:val="00BD76EA"/>
    <w:rsid w:val="00BD78A0"/>
    <w:rsid w:val="00BE06B6"/>
    <w:rsid w:val="00BE06E8"/>
    <w:rsid w:val="00BE0BE3"/>
    <w:rsid w:val="00BE12F5"/>
    <w:rsid w:val="00BE14F6"/>
    <w:rsid w:val="00BE15A9"/>
    <w:rsid w:val="00BE1669"/>
    <w:rsid w:val="00BE18D4"/>
    <w:rsid w:val="00BE1BA1"/>
    <w:rsid w:val="00BE27F2"/>
    <w:rsid w:val="00BE290C"/>
    <w:rsid w:val="00BE2963"/>
    <w:rsid w:val="00BE319B"/>
    <w:rsid w:val="00BE3619"/>
    <w:rsid w:val="00BE3B0F"/>
    <w:rsid w:val="00BE4068"/>
    <w:rsid w:val="00BE4A38"/>
    <w:rsid w:val="00BE4C8B"/>
    <w:rsid w:val="00BE5A1D"/>
    <w:rsid w:val="00BE5D38"/>
    <w:rsid w:val="00BE5DDA"/>
    <w:rsid w:val="00BE621A"/>
    <w:rsid w:val="00BE670A"/>
    <w:rsid w:val="00BE6B8C"/>
    <w:rsid w:val="00BE6BCE"/>
    <w:rsid w:val="00BE6D6C"/>
    <w:rsid w:val="00BE6DC1"/>
    <w:rsid w:val="00BE72D2"/>
    <w:rsid w:val="00BE72D4"/>
    <w:rsid w:val="00BE7433"/>
    <w:rsid w:val="00BE7618"/>
    <w:rsid w:val="00BE79AB"/>
    <w:rsid w:val="00BE7AFB"/>
    <w:rsid w:val="00BF06B6"/>
    <w:rsid w:val="00BF0A8D"/>
    <w:rsid w:val="00BF0C1D"/>
    <w:rsid w:val="00BF0E00"/>
    <w:rsid w:val="00BF133B"/>
    <w:rsid w:val="00BF1937"/>
    <w:rsid w:val="00BF1A02"/>
    <w:rsid w:val="00BF1A9C"/>
    <w:rsid w:val="00BF1AB6"/>
    <w:rsid w:val="00BF1C3C"/>
    <w:rsid w:val="00BF1FA4"/>
    <w:rsid w:val="00BF2309"/>
    <w:rsid w:val="00BF2597"/>
    <w:rsid w:val="00BF337F"/>
    <w:rsid w:val="00BF380D"/>
    <w:rsid w:val="00BF3867"/>
    <w:rsid w:val="00BF4122"/>
    <w:rsid w:val="00BF41E2"/>
    <w:rsid w:val="00BF4910"/>
    <w:rsid w:val="00BF4E4A"/>
    <w:rsid w:val="00BF5399"/>
    <w:rsid w:val="00BF57D7"/>
    <w:rsid w:val="00BF5E79"/>
    <w:rsid w:val="00BF648C"/>
    <w:rsid w:val="00BF7B16"/>
    <w:rsid w:val="00BF7BBC"/>
    <w:rsid w:val="00BF7C02"/>
    <w:rsid w:val="00BF7C26"/>
    <w:rsid w:val="00C00877"/>
    <w:rsid w:val="00C00BF6"/>
    <w:rsid w:val="00C011A5"/>
    <w:rsid w:val="00C011B1"/>
    <w:rsid w:val="00C011E4"/>
    <w:rsid w:val="00C011EC"/>
    <w:rsid w:val="00C01C82"/>
    <w:rsid w:val="00C01CC5"/>
    <w:rsid w:val="00C01CF9"/>
    <w:rsid w:val="00C01DEF"/>
    <w:rsid w:val="00C01E8D"/>
    <w:rsid w:val="00C020AC"/>
    <w:rsid w:val="00C02954"/>
    <w:rsid w:val="00C02AEA"/>
    <w:rsid w:val="00C03037"/>
    <w:rsid w:val="00C031A5"/>
    <w:rsid w:val="00C03262"/>
    <w:rsid w:val="00C034BB"/>
    <w:rsid w:val="00C034F9"/>
    <w:rsid w:val="00C0368E"/>
    <w:rsid w:val="00C03788"/>
    <w:rsid w:val="00C03AC7"/>
    <w:rsid w:val="00C03D25"/>
    <w:rsid w:val="00C040CF"/>
    <w:rsid w:val="00C0422F"/>
    <w:rsid w:val="00C04588"/>
    <w:rsid w:val="00C046E0"/>
    <w:rsid w:val="00C046EE"/>
    <w:rsid w:val="00C0475C"/>
    <w:rsid w:val="00C04D2A"/>
    <w:rsid w:val="00C0514C"/>
    <w:rsid w:val="00C05298"/>
    <w:rsid w:val="00C054D6"/>
    <w:rsid w:val="00C055A5"/>
    <w:rsid w:val="00C05695"/>
    <w:rsid w:val="00C05D41"/>
    <w:rsid w:val="00C05FAF"/>
    <w:rsid w:val="00C061A5"/>
    <w:rsid w:val="00C064D4"/>
    <w:rsid w:val="00C07572"/>
    <w:rsid w:val="00C0786D"/>
    <w:rsid w:val="00C07FC7"/>
    <w:rsid w:val="00C10FEB"/>
    <w:rsid w:val="00C11239"/>
    <w:rsid w:val="00C1176E"/>
    <w:rsid w:val="00C119CC"/>
    <w:rsid w:val="00C11CE5"/>
    <w:rsid w:val="00C11E5F"/>
    <w:rsid w:val="00C127B2"/>
    <w:rsid w:val="00C12E50"/>
    <w:rsid w:val="00C133B1"/>
    <w:rsid w:val="00C133C1"/>
    <w:rsid w:val="00C1381E"/>
    <w:rsid w:val="00C13858"/>
    <w:rsid w:val="00C1394A"/>
    <w:rsid w:val="00C13DB9"/>
    <w:rsid w:val="00C13F70"/>
    <w:rsid w:val="00C14423"/>
    <w:rsid w:val="00C14E00"/>
    <w:rsid w:val="00C15627"/>
    <w:rsid w:val="00C15696"/>
    <w:rsid w:val="00C1588C"/>
    <w:rsid w:val="00C15932"/>
    <w:rsid w:val="00C15A5A"/>
    <w:rsid w:val="00C15F19"/>
    <w:rsid w:val="00C1624A"/>
    <w:rsid w:val="00C16A8B"/>
    <w:rsid w:val="00C17519"/>
    <w:rsid w:val="00C1790D"/>
    <w:rsid w:val="00C17919"/>
    <w:rsid w:val="00C17C6C"/>
    <w:rsid w:val="00C17F4D"/>
    <w:rsid w:val="00C20121"/>
    <w:rsid w:val="00C202FA"/>
    <w:rsid w:val="00C208FE"/>
    <w:rsid w:val="00C20BFC"/>
    <w:rsid w:val="00C20FA0"/>
    <w:rsid w:val="00C2260B"/>
    <w:rsid w:val="00C22F97"/>
    <w:rsid w:val="00C22FA7"/>
    <w:rsid w:val="00C23113"/>
    <w:rsid w:val="00C23158"/>
    <w:rsid w:val="00C23666"/>
    <w:rsid w:val="00C24067"/>
    <w:rsid w:val="00C2406D"/>
    <w:rsid w:val="00C241B3"/>
    <w:rsid w:val="00C24E68"/>
    <w:rsid w:val="00C255D8"/>
    <w:rsid w:val="00C256D8"/>
    <w:rsid w:val="00C2572B"/>
    <w:rsid w:val="00C259B2"/>
    <w:rsid w:val="00C25AC1"/>
    <w:rsid w:val="00C2616C"/>
    <w:rsid w:val="00C2656D"/>
    <w:rsid w:val="00C26E51"/>
    <w:rsid w:val="00C272A8"/>
    <w:rsid w:val="00C273F9"/>
    <w:rsid w:val="00C27DB6"/>
    <w:rsid w:val="00C30029"/>
    <w:rsid w:val="00C3042A"/>
    <w:rsid w:val="00C3065B"/>
    <w:rsid w:val="00C30662"/>
    <w:rsid w:val="00C306EF"/>
    <w:rsid w:val="00C30DA4"/>
    <w:rsid w:val="00C3123C"/>
    <w:rsid w:val="00C314C5"/>
    <w:rsid w:val="00C315D6"/>
    <w:rsid w:val="00C316B1"/>
    <w:rsid w:val="00C31F2E"/>
    <w:rsid w:val="00C31FCB"/>
    <w:rsid w:val="00C3217F"/>
    <w:rsid w:val="00C3234E"/>
    <w:rsid w:val="00C32455"/>
    <w:rsid w:val="00C32473"/>
    <w:rsid w:val="00C32771"/>
    <w:rsid w:val="00C32981"/>
    <w:rsid w:val="00C32D0D"/>
    <w:rsid w:val="00C32E2F"/>
    <w:rsid w:val="00C32E35"/>
    <w:rsid w:val="00C336A0"/>
    <w:rsid w:val="00C337F5"/>
    <w:rsid w:val="00C33A95"/>
    <w:rsid w:val="00C33F24"/>
    <w:rsid w:val="00C33FD7"/>
    <w:rsid w:val="00C33FF1"/>
    <w:rsid w:val="00C34B4F"/>
    <w:rsid w:val="00C34DA4"/>
    <w:rsid w:val="00C34DBA"/>
    <w:rsid w:val="00C34F52"/>
    <w:rsid w:val="00C3515C"/>
    <w:rsid w:val="00C353C6"/>
    <w:rsid w:val="00C35B4B"/>
    <w:rsid w:val="00C35C36"/>
    <w:rsid w:val="00C35F16"/>
    <w:rsid w:val="00C36277"/>
    <w:rsid w:val="00C36907"/>
    <w:rsid w:val="00C37450"/>
    <w:rsid w:val="00C374B9"/>
    <w:rsid w:val="00C37827"/>
    <w:rsid w:val="00C37894"/>
    <w:rsid w:val="00C41021"/>
    <w:rsid w:val="00C41315"/>
    <w:rsid w:val="00C4144B"/>
    <w:rsid w:val="00C4144E"/>
    <w:rsid w:val="00C415D1"/>
    <w:rsid w:val="00C41937"/>
    <w:rsid w:val="00C41DC4"/>
    <w:rsid w:val="00C41F79"/>
    <w:rsid w:val="00C420D9"/>
    <w:rsid w:val="00C42249"/>
    <w:rsid w:val="00C42525"/>
    <w:rsid w:val="00C430F1"/>
    <w:rsid w:val="00C43331"/>
    <w:rsid w:val="00C4391C"/>
    <w:rsid w:val="00C43B8C"/>
    <w:rsid w:val="00C4407C"/>
    <w:rsid w:val="00C4439D"/>
    <w:rsid w:val="00C443CA"/>
    <w:rsid w:val="00C44643"/>
    <w:rsid w:val="00C44B84"/>
    <w:rsid w:val="00C44BBE"/>
    <w:rsid w:val="00C44C55"/>
    <w:rsid w:val="00C450D9"/>
    <w:rsid w:val="00C45917"/>
    <w:rsid w:val="00C45C22"/>
    <w:rsid w:val="00C45D1F"/>
    <w:rsid w:val="00C46448"/>
    <w:rsid w:val="00C4652B"/>
    <w:rsid w:val="00C46605"/>
    <w:rsid w:val="00C46662"/>
    <w:rsid w:val="00C466BC"/>
    <w:rsid w:val="00C467ED"/>
    <w:rsid w:val="00C46866"/>
    <w:rsid w:val="00C469F0"/>
    <w:rsid w:val="00C46E53"/>
    <w:rsid w:val="00C46F20"/>
    <w:rsid w:val="00C4705F"/>
    <w:rsid w:val="00C47207"/>
    <w:rsid w:val="00C473F7"/>
    <w:rsid w:val="00C476CC"/>
    <w:rsid w:val="00C47864"/>
    <w:rsid w:val="00C50190"/>
    <w:rsid w:val="00C501B3"/>
    <w:rsid w:val="00C502F9"/>
    <w:rsid w:val="00C50307"/>
    <w:rsid w:val="00C5044E"/>
    <w:rsid w:val="00C50646"/>
    <w:rsid w:val="00C508ED"/>
    <w:rsid w:val="00C50ACB"/>
    <w:rsid w:val="00C50C36"/>
    <w:rsid w:val="00C50C44"/>
    <w:rsid w:val="00C511E1"/>
    <w:rsid w:val="00C5176A"/>
    <w:rsid w:val="00C5188E"/>
    <w:rsid w:val="00C5191D"/>
    <w:rsid w:val="00C51F95"/>
    <w:rsid w:val="00C5208F"/>
    <w:rsid w:val="00C5247E"/>
    <w:rsid w:val="00C52F7E"/>
    <w:rsid w:val="00C537A0"/>
    <w:rsid w:val="00C53913"/>
    <w:rsid w:val="00C53BB9"/>
    <w:rsid w:val="00C53EA4"/>
    <w:rsid w:val="00C547C3"/>
    <w:rsid w:val="00C550F7"/>
    <w:rsid w:val="00C553D5"/>
    <w:rsid w:val="00C55BC6"/>
    <w:rsid w:val="00C55FCD"/>
    <w:rsid w:val="00C5625F"/>
    <w:rsid w:val="00C5636F"/>
    <w:rsid w:val="00C568D5"/>
    <w:rsid w:val="00C57248"/>
    <w:rsid w:val="00C57595"/>
    <w:rsid w:val="00C57852"/>
    <w:rsid w:val="00C6021D"/>
    <w:rsid w:val="00C603C5"/>
    <w:rsid w:val="00C60B1F"/>
    <w:rsid w:val="00C60D71"/>
    <w:rsid w:val="00C60D8F"/>
    <w:rsid w:val="00C60E2A"/>
    <w:rsid w:val="00C60E31"/>
    <w:rsid w:val="00C610AB"/>
    <w:rsid w:val="00C6145A"/>
    <w:rsid w:val="00C61CDA"/>
    <w:rsid w:val="00C621D4"/>
    <w:rsid w:val="00C621F6"/>
    <w:rsid w:val="00C623C1"/>
    <w:rsid w:val="00C6279E"/>
    <w:rsid w:val="00C6294E"/>
    <w:rsid w:val="00C62EA3"/>
    <w:rsid w:val="00C635E0"/>
    <w:rsid w:val="00C63701"/>
    <w:rsid w:val="00C63A69"/>
    <w:rsid w:val="00C63A94"/>
    <w:rsid w:val="00C63B07"/>
    <w:rsid w:val="00C647C5"/>
    <w:rsid w:val="00C64989"/>
    <w:rsid w:val="00C659F9"/>
    <w:rsid w:val="00C65D21"/>
    <w:rsid w:val="00C65FDD"/>
    <w:rsid w:val="00C662DB"/>
    <w:rsid w:val="00C66666"/>
    <w:rsid w:val="00C66669"/>
    <w:rsid w:val="00C66DE2"/>
    <w:rsid w:val="00C66E87"/>
    <w:rsid w:val="00C6730B"/>
    <w:rsid w:val="00C67DE5"/>
    <w:rsid w:val="00C70743"/>
    <w:rsid w:val="00C70884"/>
    <w:rsid w:val="00C708E3"/>
    <w:rsid w:val="00C709B9"/>
    <w:rsid w:val="00C70D7B"/>
    <w:rsid w:val="00C70DF7"/>
    <w:rsid w:val="00C70EF3"/>
    <w:rsid w:val="00C711AB"/>
    <w:rsid w:val="00C71469"/>
    <w:rsid w:val="00C717E7"/>
    <w:rsid w:val="00C71CA4"/>
    <w:rsid w:val="00C725D8"/>
    <w:rsid w:val="00C72A4D"/>
    <w:rsid w:val="00C7306C"/>
    <w:rsid w:val="00C733ED"/>
    <w:rsid w:val="00C735CC"/>
    <w:rsid w:val="00C7390B"/>
    <w:rsid w:val="00C739A6"/>
    <w:rsid w:val="00C739FC"/>
    <w:rsid w:val="00C739FF"/>
    <w:rsid w:val="00C73AF8"/>
    <w:rsid w:val="00C74A34"/>
    <w:rsid w:val="00C7537A"/>
    <w:rsid w:val="00C75665"/>
    <w:rsid w:val="00C75E90"/>
    <w:rsid w:val="00C761BD"/>
    <w:rsid w:val="00C761BE"/>
    <w:rsid w:val="00C762F4"/>
    <w:rsid w:val="00C763E3"/>
    <w:rsid w:val="00C7657E"/>
    <w:rsid w:val="00C766EE"/>
    <w:rsid w:val="00C769DC"/>
    <w:rsid w:val="00C76FF2"/>
    <w:rsid w:val="00C7702F"/>
    <w:rsid w:val="00C77054"/>
    <w:rsid w:val="00C77222"/>
    <w:rsid w:val="00C77EF6"/>
    <w:rsid w:val="00C80278"/>
    <w:rsid w:val="00C808EC"/>
    <w:rsid w:val="00C80A5B"/>
    <w:rsid w:val="00C80A9E"/>
    <w:rsid w:val="00C80D20"/>
    <w:rsid w:val="00C8151C"/>
    <w:rsid w:val="00C8155D"/>
    <w:rsid w:val="00C817C3"/>
    <w:rsid w:val="00C81848"/>
    <w:rsid w:val="00C81E75"/>
    <w:rsid w:val="00C81EB1"/>
    <w:rsid w:val="00C82012"/>
    <w:rsid w:val="00C82387"/>
    <w:rsid w:val="00C82548"/>
    <w:rsid w:val="00C828BA"/>
    <w:rsid w:val="00C82990"/>
    <w:rsid w:val="00C82D95"/>
    <w:rsid w:val="00C835CD"/>
    <w:rsid w:val="00C83787"/>
    <w:rsid w:val="00C8394C"/>
    <w:rsid w:val="00C83C6D"/>
    <w:rsid w:val="00C84400"/>
    <w:rsid w:val="00C8443D"/>
    <w:rsid w:val="00C845E7"/>
    <w:rsid w:val="00C84CDA"/>
    <w:rsid w:val="00C85352"/>
    <w:rsid w:val="00C85938"/>
    <w:rsid w:val="00C860B6"/>
    <w:rsid w:val="00C86B6D"/>
    <w:rsid w:val="00C86EC5"/>
    <w:rsid w:val="00C87072"/>
    <w:rsid w:val="00C870C0"/>
    <w:rsid w:val="00C87E79"/>
    <w:rsid w:val="00C87FCB"/>
    <w:rsid w:val="00C90123"/>
    <w:rsid w:val="00C9022E"/>
    <w:rsid w:val="00C90244"/>
    <w:rsid w:val="00C902C5"/>
    <w:rsid w:val="00C902E5"/>
    <w:rsid w:val="00C903EE"/>
    <w:rsid w:val="00C905F6"/>
    <w:rsid w:val="00C9097A"/>
    <w:rsid w:val="00C9104E"/>
    <w:rsid w:val="00C91554"/>
    <w:rsid w:val="00C91770"/>
    <w:rsid w:val="00C91884"/>
    <w:rsid w:val="00C91F7F"/>
    <w:rsid w:val="00C9218E"/>
    <w:rsid w:val="00C922BB"/>
    <w:rsid w:val="00C927F3"/>
    <w:rsid w:val="00C9308C"/>
    <w:rsid w:val="00C93FDC"/>
    <w:rsid w:val="00C946AC"/>
    <w:rsid w:val="00C95099"/>
    <w:rsid w:val="00C951CA"/>
    <w:rsid w:val="00C95518"/>
    <w:rsid w:val="00C955D2"/>
    <w:rsid w:val="00C95866"/>
    <w:rsid w:val="00C96D33"/>
    <w:rsid w:val="00C96DA8"/>
    <w:rsid w:val="00C96FB2"/>
    <w:rsid w:val="00C97137"/>
    <w:rsid w:val="00C972E0"/>
    <w:rsid w:val="00C972FE"/>
    <w:rsid w:val="00C976C5"/>
    <w:rsid w:val="00C97A1B"/>
    <w:rsid w:val="00CA02CE"/>
    <w:rsid w:val="00CA02CF"/>
    <w:rsid w:val="00CA03EC"/>
    <w:rsid w:val="00CA0984"/>
    <w:rsid w:val="00CA0AC9"/>
    <w:rsid w:val="00CA128F"/>
    <w:rsid w:val="00CA1C89"/>
    <w:rsid w:val="00CA1E33"/>
    <w:rsid w:val="00CA1ED3"/>
    <w:rsid w:val="00CA2AFD"/>
    <w:rsid w:val="00CA2C66"/>
    <w:rsid w:val="00CA2E00"/>
    <w:rsid w:val="00CA3558"/>
    <w:rsid w:val="00CA3950"/>
    <w:rsid w:val="00CA3A6C"/>
    <w:rsid w:val="00CA3B6B"/>
    <w:rsid w:val="00CA3CB8"/>
    <w:rsid w:val="00CA42E1"/>
    <w:rsid w:val="00CA4BB7"/>
    <w:rsid w:val="00CA4D0F"/>
    <w:rsid w:val="00CA5EBA"/>
    <w:rsid w:val="00CA5F70"/>
    <w:rsid w:val="00CA6488"/>
    <w:rsid w:val="00CA64CB"/>
    <w:rsid w:val="00CA6799"/>
    <w:rsid w:val="00CA69C5"/>
    <w:rsid w:val="00CA6A66"/>
    <w:rsid w:val="00CA6B8F"/>
    <w:rsid w:val="00CA6BD2"/>
    <w:rsid w:val="00CA6C49"/>
    <w:rsid w:val="00CA6CC0"/>
    <w:rsid w:val="00CA7CB0"/>
    <w:rsid w:val="00CA7E94"/>
    <w:rsid w:val="00CA7EAF"/>
    <w:rsid w:val="00CB01D3"/>
    <w:rsid w:val="00CB0465"/>
    <w:rsid w:val="00CB04F1"/>
    <w:rsid w:val="00CB0918"/>
    <w:rsid w:val="00CB0E4C"/>
    <w:rsid w:val="00CB1154"/>
    <w:rsid w:val="00CB18E2"/>
    <w:rsid w:val="00CB2789"/>
    <w:rsid w:val="00CB2827"/>
    <w:rsid w:val="00CB2A8C"/>
    <w:rsid w:val="00CB2AEC"/>
    <w:rsid w:val="00CB2C72"/>
    <w:rsid w:val="00CB2EA9"/>
    <w:rsid w:val="00CB2FD6"/>
    <w:rsid w:val="00CB3124"/>
    <w:rsid w:val="00CB3DB0"/>
    <w:rsid w:val="00CB3F6E"/>
    <w:rsid w:val="00CB4950"/>
    <w:rsid w:val="00CB4A0E"/>
    <w:rsid w:val="00CB4C8C"/>
    <w:rsid w:val="00CB4FA4"/>
    <w:rsid w:val="00CB55D5"/>
    <w:rsid w:val="00CB5DEA"/>
    <w:rsid w:val="00CB6269"/>
    <w:rsid w:val="00CB62F1"/>
    <w:rsid w:val="00CB6344"/>
    <w:rsid w:val="00CB66DE"/>
    <w:rsid w:val="00CB67C5"/>
    <w:rsid w:val="00CB6DA0"/>
    <w:rsid w:val="00CB6FC5"/>
    <w:rsid w:val="00CB7B12"/>
    <w:rsid w:val="00CB7C0A"/>
    <w:rsid w:val="00CB7CB1"/>
    <w:rsid w:val="00CC0827"/>
    <w:rsid w:val="00CC0AB9"/>
    <w:rsid w:val="00CC0CA3"/>
    <w:rsid w:val="00CC112F"/>
    <w:rsid w:val="00CC1466"/>
    <w:rsid w:val="00CC15E9"/>
    <w:rsid w:val="00CC19B8"/>
    <w:rsid w:val="00CC1B9B"/>
    <w:rsid w:val="00CC22BF"/>
    <w:rsid w:val="00CC2BB1"/>
    <w:rsid w:val="00CC2DE3"/>
    <w:rsid w:val="00CC34BB"/>
    <w:rsid w:val="00CC3E5D"/>
    <w:rsid w:val="00CC4261"/>
    <w:rsid w:val="00CC44A5"/>
    <w:rsid w:val="00CC50DB"/>
    <w:rsid w:val="00CC51DD"/>
    <w:rsid w:val="00CC53D9"/>
    <w:rsid w:val="00CC74F6"/>
    <w:rsid w:val="00CD003F"/>
    <w:rsid w:val="00CD021E"/>
    <w:rsid w:val="00CD03EC"/>
    <w:rsid w:val="00CD072C"/>
    <w:rsid w:val="00CD087F"/>
    <w:rsid w:val="00CD0892"/>
    <w:rsid w:val="00CD0DE6"/>
    <w:rsid w:val="00CD1C33"/>
    <w:rsid w:val="00CD27BA"/>
    <w:rsid w:val="00CD2944"/>
    <w:rsid w:val="00CD2B5B"/>
    <w:rsid w:val="00CD2DA6"/>
    <w:rsid w:val="00CD2FF2"/>
    <w:rsid w:val="00CD311C"/>
    <w:rsid w:val="00CD32F4"/>
    <w:rsid w:val="00CD3362"/>
    <w:rsid w:val="00CD33AD"/>
    <w:rsid w:val="00CD3806"/>
    <w:rsid w:val="00CD408D"/>
    <w:rsid w:val="00CD4120"/>
    <w:rsid w:val="00CD412E"/>
    <w:rsid w:val="00CD442C"/>
    <w:rsid w:val="00CD48EC"/>
    <w:rsid w:val="00CD4AA5"/>
    <w:rsid w:val="00CD5201"/>
    <w:rsid w:val="00CD5537"/>
    <w:rsid w:val="00CD5682"/>
    <w:rsid w:val="00CD66B3"/>
    <w:rsid w:val="00CD6825"/>
    <w:rsid w:val="00CD6DFF"/>
    <w:rsid w:val="00CD6FAE"/>
    <w:rsid w:val="00CE0076"/>
    <w:rsid w:val="00CE00B5"/>
    <w:rsid w:val="00CE00B7"/>
    <w:rsid w:val="00CE01A8"/>
    <w:rsid w:val="00CE024F"/>
    <w:rsid w:val="00CE06C4"/>
    <w:rsid w:val="00CE0752"/>
    <w:rsid w:val="00CE0962"/>
    <w:rsid w:val="00CE0CA4"/>
    <w:rsid w:val="00CE16BE"/>
    <w:rsid w:val="00CE1774"/>
    <w:rsid w:val="00CE1957"/>
    <w:rsid w:val="00CE1977"/>
    <w:rsid w:val="00CE202D"/>
    <w:rsid w:val="00CE230F"/>
    <w:rsid w:val="00CE2C1E"/>
    <w:rsid w:val="00CE3531"/>
    <w:rsid w:val="00CE3F0B"/>
    <w:rsid w:val="00CE4C99"/>
    <w:rsid w:val="00CE4DCA"/>
    <w:rsid w:val="00CE4DEC"/>
    <w:rsid w:val="00CE5093"/>
    <w:rsid w:val="00CE55D9"/>
    <w:rsid w:val="00CE57A1"/>
    <w:rsid w:val="00CE6002"/>
    <w:rsid w:val="00CE60CA"/>
    <w:rsid w:val="00CE613A"/>
    <w:rsid w:val="00CE6CB6"/>
    <w:rsid w:val="00CE6FBA"/>
    <w:rsid w:val="00CE7321"/>
    <w:rsid w:val="00CE741B"/>
    <w:rsid w:val="00CE7733"/>
    <w:rsid w:val="00CE78C1"/>
    <w:rsid w:val="00CE78D7"/>
    <w:rsid w:val="00CE7CF2"/>
    <w:rsid w:val="00CF0112"/>
    <w:rsid w:val="00CF02FE"/>
    <w:rsid w:val="00CF0788"/>
    <w:rsid w:val="00CF0A9D"/>
    <w:rsid w:val="00CF0D15"/>
    <w:rsid w:val="00CF0D7F"/>
    <w:rsid w:val="00CF0EA2"/>
    <w:rsid w:val="00CF0ED8"/>
    <w:rsid w:val="00CF0F4D"/>
    <w:rsid w:val="00CF11B0"/>
    <w:rsid w:val="00CF134F"/>
    <w:rsid w:val="00CF13CC"/>
    <w:rsid w:val="00CF1788"/>
    <w:rsid w:val="00CF17A6"/>
    <w:rsid w:val="00CF18BA"/>
    <w:rsid w:val="00CF1E64"/>
    <w:rsid w:val="00CF224B"/>
    <w:rsid w:val="00CF2503"/>
    <w:rsid w:val="00CF2889"/>
    <w:rsid w:val="00CF2A7D"/>
    <w:rsid w:val="00CF2C08"/>
    <w:rsid w:val="00CF2C65"/>
    <w:rsid w:val="00CF2CA9"/>
    <w:rsid w:val="00CF2E0D"/>
    <w:rsid w:val="00CF324E"/>
    <w:rsid w:val="00CF3934"/>
    <w:rsid w:val="00CF3986"/>
    <w:rsid w:val="00CF39E8"/>
    <w:rsid w:val="00CF3A14"/>
    <w:rsid w:val="00CF42AF"/>
    <w:rsid w:val="00CF43BA"/>
    <w:rsid w:val="00CF44F4"/>
    <w:rsid w:val="00CF450C"/>
    <w:rsid w:val="00CF472B"/>
    <w:rsid w:val="00CF51DE"/>
    <w:rsid w:val="00CF56B7"/>
    <w:rsid w:val="00CF56D5"/>
    <w:rsid w:val="00CF581C"/>
    <w:rsid w:val="00CF5F3A"/>
    <w:rsid w:val="00CF6318"/>
    <w:rsid w:val="00CF6E1B"/>
    <w:rsid w:val="00CF6FF1"/>
    <w:rsid w:val="00CF702F"/>
    <w:rsid w:val="00CF7075"/>
    <w:rsid w:val="00CF724E"/>
    <w:rsid w:val="00CF75A4"/>
    <w:rsid w:val="00CF773E"/>
    <w:rsid w:val="00CF7757"/>
    <w:rsid w:val="00CF7C54"/>
    <w:rsid w:val="00CF7D1F"/>
    <w:rsid w:val="00D000F1"/>
    <w:rsid w:val="00D00297"/>
    <w:rsid w:val="00D0081E"/>
    <w:rsid w:val="00D00C46"/>
    <w:rsid w:val="00D010A1"/>
    <w:rsid w:val="00D013D0"/>
    <w:rsid w:val="00D0148E"/>
    <w:rsid w:val="00D01491"/>
    <w:rsid w:val="00D014BC"/>
    <w:rsid w:val="00D0181A"/>
    <w:rsid w:val="00D01FC6"/>
    <w:rsid w:val="00D02280"/>
    <w:rsid w:val="00D0248A"/>
    <w:rsid w:val="00D025B4"/>
    <w:rsid w:val="00D02B3C"/>
    <w:rsid w:val="00D038AC"/>
    <w:rsid w:val="00D03A90"/>
    <w:rsid w:val="00D03E66"/>
    <w:rsid w:val="00D0403D"/>
    <w:rsid w:val="00D04E3E"/>
    <w:rsid w:val="00D05196"/>
    <w:rsid w:val="00D052D5"/>
    <w:rsid w:val="00D05E6C"/>
    <w:rsid w:val="00D062D0"/>
    <w:rsid w:val="00D06335"/>
    <w:rsid w:val="00D06A58"/>
    <w:rsid w:val="00D076B1"/>
    <w:rsid w:val="00D078CA"/>
    <w:rsid w:val="00D07B7A"/>
    <w:rsid w:val="00D07DF8"/>
    <w:rsid w:val="00D07EE1"/>
    <w:rsid w:val="00D1051C"/>
    <w:rsid w:val="00D10645"/>
    <w:rsid w:val="00D10E41"/>
    <w:rsid w:val="00D111FB"/>
    <w:rsid w:val="00D11B16"/>
    <w:rsid w:val="00D12872"/>
    <w:rsid w:val="00D12FF9"/>
    <w:rsid w:val="00D132B2"/>
    <w:rsid w:val="00D136E5"/>
    <w:rsid w:val="00D13A0B"/>
    <w:rsid w:val="00D13B1A"/>
    <w:rsid w:val="00D13D58"/>
    <w:rsid w:val="00D14922"/>
    <w:rsid w:val="00D14D14"/>
    <w:rsid w:val="00D14EB4"/>
    <w:rsid w:val="00D150AE"/>
    <w:rsid w:val="00D1540B"/>
    <w:rsid w:val="00D156F3"/>
    <w:rsid w:val="00D15796"/>
    <w:rsid w:val="00D159CF"/>
    <w:rsid w:val="00D15C52"/>
    <w:rsid w:val="00D16648"/>
    <w:rsid w:val="00D16B48"/>
    <w:rsid w:val="00D16BB4"/>
    <w:rsid w:val="00D16CE7"/>
    <w:rsid w:val="00D170D2"/>
    <w:rsid w:val="00D17228"/>
    <w:rsid w:val="00D1733C"/>
    <w:rsid w:val="00D1753D"/>
    <w:rsid w:val="00D17E7C"/>
    <w:rsid w:val="00D203D0"/>
    <w:rsid w:val="00D20966"/>
    <w:rsid w:val="00D20CDE"/>
    <w:rsid w:val="00D20DB8"/>
    <w:rsid w:val="00D21302"/>
    <w:rsid w:val="00D2167E"/>
    <w:rsid w:val="00D21C13"/>
    <w:rsid w:val="00D229CF"/>
    <w:rsid w:val="00D22BE6"/>
    <w:rsid w:val="00D22D56"/>
    <w:rsid w:val="00D23356"/>
    <w:rsid w:val="00D234C6"/>
    <w:rsid w:val="00D236FD"/>
    <w:rsid w:val="00D23AF3"/>
    <w:rsid w:val="00D23C83"/>
    <w:rsid w:val="00D23E16"/>
    <w:rsid w:val="00D23E40"/>
    <w:rsid w:val="00D2402E"/>
    <w:rsid w:val="00D242D2"/>
    <w:rsid w:val="00D24C6C"/>
    <w:rsid w:val="00D24D8E"/>
    <w:rsid w:val="00D24FD9"/>
    <w:rsid w:val="00D25395"/>
    <w:rsid w:val="00D25B96"/>
    <w:rsid w:val="00D260F4"/>
    <w:rsid w:val="00D27694"/>
    <w:rsid w:val="00D27F3B"/>
    <w:rsid w:val="00D30031"/>
    <w:rsid w:val="00D30799"/>
    <w:rsid w:val="00D3124C"/>
    <w:rsid w:val="00D31967"/>
    <w:rsid w:val="00D31DE7"/>
    <w:rsid w:val="00D32557"/>
    <w:rsid w:val="00D32F47"/>
    <w:rsid w:val="00D330A5"/>
    <w:rsid w:val="00D33121"/>
    <w:rsid w:val="00D33576"/>
    <w:rsid w:val="00D337C4"/>
    <w:rsid w:val="00D33A99"/>
    <w:rsid w:val="00D33BCB"/>
    <w:rsid w:val="00D33CE4"/>
    <w:rsid w:val="00D3479A"/>
    <w:rsid w:val="00D34A0E"/>
    <w:rsid w:val="00D34BBF"/>
    <w:rsid w:val="00D34E03"/>
    <w:rsid w:val="00D34E47"/>
    <w:rsid w:val="00D358A8"/>
    <w:rsid w:val="00D358F0"/>
    <w:rsid w:val="00D35CBE"/>
    <w:rsid w:val="00D368DE"/>
    <w:rsid w:val="00D36CFF"/>
    <w:rsid w:val="00D375EB"/>
    <w:rsid w:val="00D377B1"/>
    <w:rsid w:val="00D400A1"/>
    <w:rsid w:val="00D400C3"/>
    <w:rsid w:val="00D4051E"/>
    <w:rsid w:val="00D40ABC"/>
    <w:rsid w:val="00D40AF0"/>
    <w:rsid w:val="00D410F2"/>
    <w:rsid w:val="00D4169C"/>
    <w:rsid w:val="00D425AC"/>
    <w:rsid w:val="00D42871"/>
    <w:rsid w:val="00D42880"/>
    <w:rsid w:val="00D42F41"/>
    <w:rsid w:val="00D4302F"/>
    <w:rsid w:val="00D430C5"/>
    <w:rsid w:val="00D43176"/>
    <w:rsid w:val="00D43ABD"/>
    <w:rsid w:val="00D43D09"/>
    <w:rsid w:val="00D448EA"/>
    <w:rsid w:val="00D44CFD"/>
    <w:rsid w:val="00D44EC1"/>
    <w:rsid w:val="00D45D49"/>
    <w:rsid w:val="00D45EF7"/>
    <w:rsid w:val="00D45FB6"/>
    <w:rsid w:val="00D46304"/>
    <w:rsid w:val="00D46D2E"/>
    <w:rsid w:val="00D46FDC"/>
    <w:rsid w:val="00D47044"/>
    <w:rsid w:val="00D47EE2"/>
    <w:rsid w:val="00D50110"/>
    <w:rsid w:val="00D503FC"/>
    <w:rsid w:val="00D5046F"/>
    <w:rsid w:val="00D5078E"/>
    <w:rsid w:val="00D50CCB"/>
    <w:rsid w:val="00D511E6"/>
    <w:rsid w:val="00D513BC"/>
    <w:rsid w:val="00D5160C"/>
    <w:rsid w:val="00D516B9"/>
    <w:rsid w:val="00D521C5"/>
    <w:rsid w:val="00D522A3"/>
    <w:rsid w:val="00D5264F"/>
    <w:rsid w:val="00D526CA"/>
    <w:rsid w:val="00D528B8"/>
    <w:rsid w:val="00D52BCB"/>
    <w:rsid w:val="00D535C5"/>
    <w:rsid w:val="00D535F7"/>
    <w:rsid w:val="00D536C0"/>
    <w:rsid w:val="00D5400D"/>
    <w:rsid w:val="00D549A2"/>
    <w:rsid w:val="00D55016"/>
    <w:rsid w:val="00D55737"/>
    <w:rsid w:val="00D558B1"/>
    <w:rsid w:val="00D55A1B"/>
    <w:rsid w:val="00D55F0A"/>
    <w:rsid w:val="00D56055"/>
    <w:rsid w:val="00D56177"/>
    <w:rsid w:val="00D563D5"/>
    <w:rsid w:val="00D5673E"/>
    <w:rsid w:val="00D56B32"/>
    <w:rsid w:val="00D5745C"/>
    <w:rsid w:val="00D57466"/>
    <w:rsid w:val="00D576FB"/>
    <w:rsid w:val="00D578EC"/>
    <w:rsid w:val="00D60052"/>
    <w:rsid w:val="00D60261"/>
    <w:rsid w:val="00D6038E"/>
    <w:rsid w:val="00D605D4"/>
    <w:rsid w:val="00D60DA1"/>
    <w:rsid w:val="00D610C1"/>
    <w:rsid w:val="00D6149D"/>
    <w:rsid w:val="00D61D28"/>
    <w:rsid w:val="00D620C4"/>
    <w:rsid w:val="00D622BD"/>
    <w:rsid w:val="00D625E7"/>
    <w:rsid w:val="00D627F7"/>
    <w:rsid w:val="00D62B05"/>
    <w:rsid w:val="00D62FA1"/>
    <w:rsid w:val="00D6304D"/>
    <w:rsid w:val="00D63380"/>
    <w:rsid w:val="00D633AF"/>
    <w:rsid w:val="00D6360C"/>
    <w:rsid w:val="00D638FC"/>
    <w:rsid w:val="00D63978"/>
    <w:rsid w:val="00D63CA0"/>
    <w:rsid w:val="00D63CE4"/>
    <w:rsid w:val="00D63F75"/>
    <w:rsid w:val="00D640E6"/>
    <w:rsid w:val="00D64961"/>
    <w:rsid w:val="00D6510E"/>
    <w:rsid w:val="00D65371"/>
    <w:rsid w:val="00D6586C"/>
    <w:rsid w:val="00D6598B"/>
    <w:rsid w:val="00D659A4"/>
    <w:rsid w:val="00D66145"/>
    <w:rsid w:val="00D66A8A"/>
    <w:rsid w:val="00D66C1C"/>
    <w:rsid w:val="00D66F0E"/>
    <w:rsid w:val="00D67889"/>
    <w:rsid w:val="00D701B9"/>
    <w:rsid w:val="00D70333"/>
    <w:rsid w:val="00D70460"/>
    <w:rsid w:val="00D7104B"/>
    <w:rsid w:val="00D71280"/>
    <w:rsid w:val="00D71617"/>
    <w:rsid w:val="00D71EB0"/>
    <w:rsid w:val="00D722CF"/>
    <w:rsid w:val="00D72B52"/>
    <w:rsid w:val="00D72F11"/>
    <w:rsid w:val="00D7318B"/>
    <w:rsid w:val="00D73210"/>
    <w:rsid w:val="00D732C3"/>
    <w:rsid w:val="00D737DE"/>
    <w:rsid w:val="00D748E9"/>
    <w:rsid w:val="00D74BF2"/>
    <w:rsid w:val="00D75030"/>
    <w:rsid w:val="00D750A5"/>
    <w:rsid w:val="00D7511C"/>
    <w:rsid w:val="00D755E7"/>
    <w:rsid w:val="00D7587E"/>
    <w:rsid w:val="00D75D40"/>
    <w:rsid w:val="00D760C5"/>
    <w:rsid w:val="00D7695A"/>
    <w:rsid w:val="00D77649"/>
    <w:rsid w:val="00D7788C"/>
    <w:rsid w:val="00D779F9"/>
    <w:rsid w:val="00D77AF0"/>
    <w:rsid w:val="00D77DFF"/>
    <w:rsid w:val="00D80053"/>
    <w:rsid w:val="00D80337"/>
    <w:rsid w:val="00D80462"/>
    <w:rsid w:val="00D80670"/>
    <w:rsid w:val="00D807B7"/>
    <w:rsid w:val="00D8080B"/>
    <w:rsid w:val="00D80A4F"/>
    <w:rsid w:val="00D80BB3"/>
    <w:rsid w:val="00D80DD3"/>
    <w:rsid w:val="00D80E33"/>
    <w:rsid w:val="00D81386"/>
    <w:rsid w:val="00D81EC5"/>
    <w:rsid w:val="00D81F1F"/>
    <w:rsid w:val="00D8212C"/>
    <w:rsid w:val="00D824D5"/>
    <w:rsid w:val="00D827E2"/>
    <w:rsid w:val="00D82AB8"/>
    <w:rsid w:val="00D830A0"/>
    <w:rsid w:val="00D83912"/>
    <w:rsid w:val="00D84009"/>
    <w:rsid w:val="00D840BB"/>
    <w:rsid w:val="00D845A3"/>
    <w:rsid w:val="00D847F5"/>
    <w:rsid w:val="00D849DB"/>
    <w:rsid w:val="00D84B46"/>
    <w:rsid w:val="00D85210"/>
    <w:rsid w:val="00D86791"/>
    <w:rsid w:val="00D86A15"/>
    <w:rsid w:val="00D86B32"/>
    <w:rsid w:val="00D86CDD"/>
    <w:rsid w:val="00D86D62"/>
    <w:rsid w:val="00D86D91"/>
    <w:rsid w:val="00D873CC"/>
    <w:rsid w:val="00D8757F"/>
    <w:rsid w:val="00D876DD"/>
    <w:rsid w:val="00D87AA3"/>
    <w:rsid w:val="00D87ADC"/>
    <w:rsid w:val="00D87BEC"/>
    <w:rsid w:val="00D87E58"/>
    <w:rsid w:val="00D9006C"/>
    <w:rsid w:val="00D9024E"/>
    <w:rsid w:val="00D903F4"/>
    <w:rsid w:val="00D905EE"/>
    <w:rsid w:val="00D90D80"/>
    <w:rsid w:val="00D910D6"/>
    <w:rsid w:val="00D91386"/>
    <w:rsid w:val="00D922E7"/>
    <w:rsid w:val="00D9255F"/>
    <w:rsid w:val="00D92609"/>
    <w:rsid w:val="00D9266C"/>
    <w:rsid w:val="00D92B04"/>
    <w:rsid w:val="00D92E4A"/>
    <w:rsid w:val="00D93267"/>
    <w:rsid w:val="00D94257"/>
    <w:rsid w:val="00D94DF7"/>
    <w:rsid w:val="00D9560C"/>
    <w:rsid w:val="00D95A82"/>
    <w:rsid w:val="00D9625F"/>
    <w:rsid w:val="00D963B5"/>
    <w:rsid w:val="00D96488"/>
    <w:rsid w:val="00D967C8"/>
    <w:rsid w:val="00D968CA"/>
    <w:rsid w:val="00D96B03"/>
    <w:rsid w:val="00D96D60"/>
    <w:rsid w:val="00D96DAA"/>
    <w:rsid w:val="00D9756E"/>
    <w:rsid w:val="00D976C2"/>
    <w:rsid w:val="00D97A49"/>
    <w:rsid w:val="00D97CDE"/>
    <w:rsid w:val="00D97DAB"/>
    <w:rsid w:val="00D97ED6"/>
    <w:rsid w:val="00DA0163"/>
    <w:rsid w:val="00DA098A"/>
    <w:rsid w:val="00DA0C94"/>
    <w:rsid w:val="00DA0F0A"/>
    <w:rsid w:val="00DA1332"/>
    <w:rsid w:val="00DA13A0"/>
    <w:rsid w:val="00DA17D0"/>
    <w:rsid w:val="00DA1984"/>
    <w:rsid w:val="00DA1C9F"/>
    <w:rsid w:val="00DA1D64"/>
    <w:rsid w:val="00DA1DFB"/>
    <w:rsid w:val="00DA2028"/>
    <w:rsid w:val="00DA2185"/>
    <w:rsid w:val="00DA2297"/>
    <w:rsid w:val="00DA231C"/>
    <w:rsid w:val="00DA235A"/>
    <w:rsid w:val="00DA2395"/>
    <w:rsid w:val="00DA2920"/>
    <w:rsid w:val="00DA2973"/>
    <w:rsid w:val="00DA30B7"/>
    <w:rsid w:val="00DA37FE"/>
    <w:rsid w:val="00DA395C"/>
    <w:rsid w:val="00DA3A22"/>
    <w:rsid w:val="00DA3AF4"/>
    <w:rsid w:val="00DA422C"/>
    <w:rsid w:val="00DA46B2"/>
    <w:rsid w:val="00DA4706"/>
    <w:rsid w:val="00DA4A0E"/>
    <w:rsid w:val="00DA4DD5"/>
    <w:rsid w:val="00DA5B86"/>
    <w:rsid w:val="00DA5EBB"/>
    <w:rsid w:val="00DA6372"/>
    <w:rsid w:val="00DA65B4"/>
    <w:rsid w:val="00DA6D29"/>
    <w:rsid w:val="00DA7003"/>
    <w:rsid w:val="00DA71CF"/>
    <w:rsid w:val="00DA7390"/>
    <w:rsid w:val="00DA7974"/>
    <w:rsid w:val="00DA79C0"/>
    <w:rsid w:val="00DA7F78"/>
    <w:rsid w:val="00DA7FBB"/>
    <w:rsid w:val="00DA7FEA"/>
    <w:rsid w:val="00DB013B"/>
    <w:rsid w:val="00DB039E"/>
    <w:rsid w:val="00DB03D5"/>
    <w:rsid w:val="00DB0904"/>
    <w:rsid w:val="00DB1851"/>
    <w:rsid w:val="00DB1C06"/>
    <w:rsid w:val="00DB1CD2"/>
    <w:rsid w:val="00DB1D28"/>
    <w:rsid w:val="00DB1FD6"/>
    <w:rsid w:val="00DB2990"/>
    <w:rsid w:val="00DB311E"/>
    <w:rsid w:val="00DB332B"/>
    <w:rsid w:val="00DB33FD"/>
    <w:rsid w:val="00DB3427"/>
    <w:rsid w:val="00DB36C3"/>
    <w:rsid w:val="00DB3C34"/>
    <w:rsid w:val="00DB3D43"/>
    <w:rsid w:val="00DB3FA3"/>
    <w:rsid w:val="00DB41C2"/>
    <w:rsid w:val="00DB45C2"/>
    <w:rsid w:val="00DB4676"/>
    <w:rsid w:val="00DB4E53"/>
    <w:rsid w:val="00DB5B68"/>
    <w:rsid w:val="00DB5E66"/>
    <w:rsid w:val="00DB5EDB"/>
    <w:rsid w:val="00DB61C3"/>
    <w:rsid w:val="00DB691D"/>
    <w:rsid w:val="00DB6A90"/>
    <w:rsid w:val="00DB6C82"/>
    <w:rsid w:val="00DB6CB7"/>
    <w:rsid w:val="00DB7A41"/>
    <w:rsid w:val="00DB7CC3"/>
    <w:rsid w:val="00DB7D2E"/>
    <w:rsid w:val="00DB7E00"/>
    <w:rsid w:val="00DB7E70"/>
    <w:rsid w:val="00DC0252"/>
    <w:rsid w:val="00DC0913"/>
    <w:rsid w:val="00DC0B96"/>
    <w:rsid w:val="00DC1044"/>
    <w:rsid w:val="00DC144D"/>
    <w:rsid w:val="00DC146A"/>
    <w:rsid w:val="00DC14BE"/>
    <w:rsid w:val="00DC15D0"/>
    <w:rsid w:val="00DC180D"/>
    <w:rsid w:val="00DC180F"/>
    <w:rsid w:val="00DC1B38"/>
    <w:rsid w:val="00DC1B5C"/>
    <w:rsid w:val="00DC1C83"/>
    <w:rsid w:val="00DC1EDE"/>
    <w:rsid w:val="00DC1FAB"/>
    <w:rsid w:val="00DC1FD0"/>
    <w:rsid w:val="00DC208E"/>
    <w:rsid w:val="00DC2104"/>
    <w:rsid w:val="00DC21E0"/>
    <w:rsid w:val="00DC220E"/>
    <w:rsid w:val="00DC2489"/>
    <w:rsid w:val="00DC268A"/>
    <w:rsid w:val="00DC2889"/>
    <w:rsid w:val="00DC296A"/>
    <w:rsid w:val="00DC29D6"/>
    <w:rsid w:val="00DC2B64"/>
    <w:rsid w:val="00DC2BEA"/>
    <w:rsid w:val="00DC2D77"/>
    <w:rsid w:val="00DC33BF"/>
    <w:rsid w:val="00DC3873"/>
    <w:rsid w:val="00DC38D1"/>
    <w:rsid w:val="00DC393F"/>
    <w:rsid w:val="00DC3969"/>
    <w:rsid w:val="00DC3A76"/>
    <w:rsid w:val="00DC3AEA"/>
    <w:rsid w:val="00DC3B40"/>
    <w:rsid w:val="00DC499D"/>
    <w:rsid w:val="00DC4A9E"/>
    <w:rsid w:val="00DC50B5"/>
    <w:rsid w:val="00DC5135"/>
    <w:rsid w:val="00DC5951"/>
    <w:rsid w:val="00DC5953"/>
    <w:rsid w:val="00DC59C8"/>
    <w:rsid w:val="00DC5DC5"/>
    <w:rsid w:val="00DC5EEA"/>
    <w:rsid w:val="00DD0382"/>
    <w:rsid w:val="00DD0E3B"/>
    <w:rsid w:val="00DD1020"/>
    <w:rsid w:val="00DD1EB5"/>
    <w:rsid w:val="00DD2373"/>
    <w:rsid w:val="00DD24C7"/>
    <w:rsid w:val="00DD2B86"/>
    <w:rsid w:val="00DD2E62"/>
    <w:rsid w:val="00DD2EB6"/>
    <w:rsid w:val="00DD385E"/>
    <w:rsid w:val="00DD3F4A"/>
    <w:rsid w:val="00DD40C1"/>
    <w:rsid w:val="00DD42E4"/>
    <w:rsid w:val="00DD4899"/>
    <w:rsid w:val="00DD5552"/>
    <w:rsid w:val="00DD5679"/>
    <w:rsid w:val="00DD5DD3"/>
    <w:rsid w:val="00DD6030"/>
    <w:rsid w:val="00DD6199"/>
    <w:rsid w:val="00DD6234"/>
    <w:rsid w:val="00DD64F3"/>
    <w:rsid w:val="00DD6C04"/>
    <w:rsid w:val="00DD6F77"/>
    <w:rsid w:val="00DD70E9"/>
    <w:rsid w:val="00DD7545"/>
    <w:rsid w:val="00DD75BC"/>
    <w:rsid w:val="00DD770D"/>
    <w:rsid w:val="00DD7936"/>
    <w:rsid w:val="00DD7E11"/>
    <w:rsid w:val="00DE08EE"/>
    <w:rsid w:val="00DE0C6A"/>
    <w:rsid w:val="00DE1855"/>
    <w:rsid w:val="00DE1EAB"/>
    <w:rsid w:val="00DE1F2F"/>
    <w:rsid w:val="00DE2061"/>
    <w:rsid w:val="00DE26EE"/>
    <w:rsid w:val="00DE27FA"/>
    <w:rsid w:val="00DE2A82"/>
    <w:rsid w:val="00DE2B6D"/>
    <w:rsid w:val="00DE2E7D"/>
    <w:rsid w:val="00DE3406"/>
    <w:rsid w:val="00DE37E1"/>
    <w:rsid w:val="00DE3814"/>
    <w:rsid w:val="00DE391D"/>
    <w:rsid w:val="00DE39A1"/>
    <w:rsid w:val="00DE3C60"/>
    <w:rsid w:val="00DE3EED"/>
    <w:rsid w:val="00DE4593"/>
    <w:rsid w:val="00DE4A83"/>
    <w:rsid w:val="00DE4AD5"/>
    <w:rsid w:val="00DE5580"/>
    <w:rsid w:val="00DE5B20"/>
    <w:rsid w:val="00DE5DB5"/>
    <w:rsid w:val="00DE5FF3"/>
    <w:rsid w:val="00DE60E5"/>
    <w:rsid w:val="00DE634F"/>
    <w:rsid w:val="00DE664D"/>
    <w:rsid w:val="00DE6A7B"/>
    <w:rsid w:val="00DE6B0F"/>
    <w:rsid w:val="00DE6C09"/>
    <w:rsid w:val="00DE709A"/>
    <w:rsid w:val="00DE7116"/>
    <w:rsid w:val="00DE75F5"/>
    <w:rsid w:val="00DE76B5"/>
    <w:rsid w:val="00DE7E07"/>
    <w:rsid w:val="00DF004F"/>
    <w:rsid w:val="00DF052F"/>
    <w:rsid w:val="00DF06CB"/>
    <w:rsid w:val="00DF07BA"/>
    <w:rsid w:val="00DF08F2"/>
    <w:rsid w:val="00DF0F35"/>
    <w:rsid w:val="00DF0FF5"/>
    <w:rsid w:val="00DF11FA"/>
    <w:rsid w:val="00DF124D"/>
    <w:rsid w:val="00DF1331"/>
    <w:rsid w:val="00DF13F5"/>
    <w:rsid w:val="00DF194D"/>
    <w:rsid w:val="00DF1B3E"/>
    <w:rsid w:val="00DF1D2E"/>
    <w:rsid w:val="00DF1F77"/>
    <w:rsid w:val="00DF24E3"/>
    <w:rsid w:val="00DF2B33"/>
    <w:rsid w:val="00DF493E"/>
    <w:rsid w:val="00DF49B5"/>
    <w:rsid w:val="00DF49FA"/>
    <w:rsid w:val="00DF4FC6"/>
    <w:rsid w:val="00DF4FCB"/>
    <w:rsid w:val="00DF5619"/>
    <w:rsid w:val="00DF5CAB"/>
    <w:rsid w:val="00DF5EDF"/>
    <w:rsid w:val="00DF615A"/>
    <w:rsid w:val="00DF679C"/>
    <w:rsid w:val="00DF6841"/>
    <w:rsid w:val="00DF7114"/>
    <w:rsid w:val="00DF7492"/>
    <w:rsid w:val="00DF75E6"/>
    <w:rsid w:val="00DF7806"/>
    <w:rsid w:val="00DF7D65"/>
    <w:rsid w:val="00DF7F98"/>
    <w:rsid w:val="00DF7FD1"/>
    <w:rsid w:val="00E0005B"/>
    <w:rsid w:val="00E00672"/>
    <w:rsid w:val="00E0077C"/>
    <w:rsid w:val="00E010D7"/>
    <w:rsid w:val="00E011DC"/>
    <w:rsid w:val="00E013E6"/>
    <w:rsid w:val="00E0165C"/>
    <w:rsid w:val="00E016CB"/>
    <w:rsid w:val="00E01775"/>
    <w:rsid w:val="00E01AC9"/>
    <w:rsid w:val="00E01B79"/>
    <w:rsid w:val="00E02412"/>
    <w:rsid w:val="00E024E6"/>
    <w:rsid w:val="00E0278D"/>
    <w:rsid w:val="00E02A70"/>
    <w:rsid w:val="00E02BC4"/>
    <w:rsid w:val="00E02DC9"/>
    <w:rsid w:val="00E02F19"/>
    <w:rsid w:val="00E032C0"/>
    <w:rsid w:val="00E0380B"/>
    <w:rsid w:val="00E03AF9"/>
    <w:rsid w:val="00E03B96"/>
    <w:rsid w:val="00E045F6"/>
    <w:rsid w:val="00E04A2D"/>
    <w:rsid w:val="00E04B9A"/>
    <w:rsid w:val="00E04FB9"/>
    <w:rsid w:val="00E05408"/>
    <w:rsid w:val="00E055A1"/>
    <w:rsid w:val="00E05EA7"/>
    <w:rsid w:val="00E0691D"/>
    <w:rsid w:val="00E06C3E"/>
    <w:rsid w:val="00E07667"/>
    <w:rsid w:val="00E0773C"/>
    <w:rsid w:val="00E0798C"/>
    <w:rsid w:val="00E07B89"/>
    <w:rsid w:val="00E07FF0"/>
    <w:rsid w:val="00E1021B"/>
    <w:rsid w:val="00E10344"/>
    <w:rsid w:val="00E10ED5"/>
    <w:rsid w:val="00E112B8"/>
    <w:rsid w:val="00E11449"/>
    <w:rsid w:val="00E11642"/>
    <w:rsid w:val="00E11825"/>
    <w:rsid w:val="00E11BF1"/>
    <w:rsid w:val="00E11C50"/>
    <w:rsid w:val="00E11F29"/>
    <w:rsid w:val="00E11F2D"/>
    <w:rsid w:val="00E1210B"/>
    <w:rsid w:val="00E12139"/>
    <w:rsid w:val="00E122D6"/>
    <w:rsid w:val="00E12A55"/>
    <w:rsid w:val="00E12E22"/>
    <w:rsid w:val="00E12E28"/>
    <w:rsid w:val="00E12F0A"/>
    <w:rsid w:val="00E12F43"/>
    <w:rsid w:val="00E13357"/>
    <w:rsid w:val="00E13ED2"/>
    <w:rsid w:val="00E14132"/>
    <w:rsid w:val="00E14A2D"/>
    <w:rsid w:val="00E15278"/>
    <w:rsid w:val="00E15345"/>
    <w:rsid w:val="00E15770"/>
    <w:rsid w:val="00E1581C"/>
    <w:rsid w:val="00E15F47"/>
    <w:rsid w:val="00E16353"/>
    <w:rsid w:val="00E1693D"/>
    <w:rsid w:val="00E16A5A"/>
    <w:rsid w:val="00E16D36"/>
    <w:rsid w:val="00E16FE5"/>
    <w:rsid w:val="00E17D2A"/>
    <w:rsid w:val="00E203B7"/>
    <w:rsid w:val="00E20632"/>
    <w:rsid w:val="00E208BE"/>
    <w:rsid w:val="00E20BE5"/>
    <w:rsid w:val="00E20D5E"/>
    <w:rsid w:val="00E20F4E"/>
    <w:rsid w:val="00E2144F"/>
    <w:rsid w:val="00E2153E"/>
    <w:rsid w:val="00E215F1"/>
    <w:rsid w:val="00E2345B"/>
    <w:rsid w:val="00E2387C"/>
    <w:rsid w:val="00E238D0"/>
    <w:rsid w:val="00E24251"/>
    <w:rsid w:val="00E246E9"/>
    <w:rsid w:val="00E24A0F"/>
    <w:rsid w:val="00E24E9F"/>
    <w:rsid w:val="00E25E5A"/>
    <w:rsid w:val="00E261BF"/>
    <w:rsid w:val="00E2685B"/>
    <w:rsid w:val="00E26987"/>
    <w:rsid w:val="00E26B36"/>
    <w:rsid w:val="00E26DD6"/>
    <w:rsid w:val="00E26E2C"/>
    <w:rsid w:val="00E2707B"/>
    <w:rsid w:val="00E2749F"/>
    <w:rsid w:val="00E27601"/>
    <w:rsid w:val="00E27645"/>
    <w:rsid w:val="00E30031"/>
    <w:rsid w:val="00E304F8"/>
    <w:rsid w:val="00E30702"/>
    <w:rsid w:val="00E3078D"/>
    <w:rsid w:val="00E3173F"/>
    <w:rsid w:val="00E31C45"/>
    <w:rsid w:val="00E31ED9"/>
    <w:rsid w:val="00E322C8"/>
    <w:rsid w:val="00E325E4"/>
    <w:rsid w:val="00E32727"/>
    <w:rsid w:val="00E32E4C"/>
    <w:rsid w:val="00E3307E"/>
    <w:rsid w:val="00E335D0"/>
    <w:rsid w:val="00E33BB0"/>
    <w:rsid w:val="00E33F91"/>
    <w:rsid w:val="00E343B2"/>
    <w:rsid w:val="00E346DF"/>
    <w:rsid w:val="00E35012"/>
    <w:rsid w:val="00E351EA"/>
    <w:rsid w:val="00E35607"/>
    <w:rsid w:val="00E367E4"/>
    <w:rsid w:val="00E369CC"/>
    <w:rsid w:val="00E36C0B"/>
    <w:rsid w:val="00E36E4A"/>
    <w:rsid w:val="00E37A29"/>
    <w:rsid w:val="00E4018F"/>
    <w:rsid w:val="00E402D6"/>
    <w:rsid w:val="00E4080F"/>
    <w:rsid w:val="00E408BF"/>
    <w:rsid w:val="00E409D7"/>
    <w:rsid w:val="00E40BCB"/>
    <w:rsid w:val="00E40CAD"/>
    <w:rsid w:val="00E40D08"/>
    <w:rsid w:val="00E411E8"/>
    <w:rsid w:val="00E4138F"/>
    <w:rsid w:val="00E41893"/>
    <w:rsid w:val="00E418A4"/>
    <w:rsid w:val="00E41DB1"/>
    <w:rsid w:val="00E42018"/>
    <w:rsid w:val="00E42245"/>
    <w:rsid w:val="00E42CF2"/>
    <w:rsid w:val="00E43329"/>
    <w:rsid w:val="00E43391"/>
    <w:rsid w:val="00E4362C"/>
    <w:rsid w:val="00E438A6"/>
    <w:rsid w:val="00E43EF7"/>
    <w:rsid w:val="00E43FA9"/>
    <w:rsid w:val="00E44075"/>
    <w:rsid w:val="00E4437D"/>
    <w:rsid w:val="00E4446A"/>
    <w:rsid w:val="00E44579"/>
    <w:rsid w:val="00E451D7"/>
    <w:rsid w:val="00E452AC"/>
    <w:rsid w:val="00E4544B"/>
    <w:rsid w:val="00E457EB"/>
    <w:rsid w:val="00E4597D"/>
    <w:rsid w:val="00E45EBE"/>
    <w:rsid w:val="00E463A2"/>
    <w:rsid w:val="00E4650F"/>
    <w:rsid w:val="00E46555"/>
    <w:rsid w:val="00E46EC1"/>
    <w:rsid w:val="00E47325"/>
    <w:rsid w:val="00E4794F"/>
    <w:rsid w:val="00E47D3F"/>
    <w:rsid w:val="00E47DA3"/>
    <w:rsid w:val="00E47FA6"/>
    <w:rsid w:val="00E5062B"/>
    <w:rsid w:val="00E5066E"/>
    <w:rsid w:val="00E50CBB"/>
    <w:rsid w:val="00E50D53"/>
    <w:rsid w:val="00E51A36"/>
    <w:rsid w:val="00E51A61"/>
    <w:rsid w:val="00E51CC1"/>
    <w:rsid w:val="00E520D3"/>
    <w:rsid w:val="00E52385"/>
    <w:rsid w:val="00E529B5"/>
    <w:rsid w:val="00E52FC8"/>
    <w:rsid w:val="00E5378B"/>
    <w:rsid w:val="00E53CD7"/>
    <w:rsid w:val="00E541AD"/>
    <w:rsid w:val="00E54354"/>
    <w:rsid w:val="00E54BED"/>
    <w:rsid w:val="00E5522B"/>
    <w:rsid w:val="00E556F9"/>
    <w:rsid w:val="00E55844"/>
    <w:rsid w:val="00E55FD5"/>
    <w:rsid w:val="00E56330"/>
    <w:rsid w:val="00E563B1"/>
    <w:rsid w:val="00E56DC3"/>
    <w:rsid w:val="00E56EA4"/>
    <w:rsid w:val="00E570B0"/>
    <w:rsid w:val="00E571B1"/>
    <w:rsid w:val="00E5770B"/>
    <w:rsid w:val="00E57D2F"/>
    <w:rsid w:val="00E6023E"/>
    <w:rsid w:val="00E602E5"/>
    <w:rsid w:val="00E6036E"/>
    <w:rsid w:val="00E603AF"/>
    <w:rsid w:val="00E60991"/>
    <w:rsid w:val="00E60C38"/>
    <w:rsid w:val="00E60C4A"/>
    <w:rsid w:val="00E61336"/>
    <w:rsid w:val="00E61727"/>
    <w:rsid w:val="00E61F88"/>
    <w:rsid w:val="00E626B9"/>
    <w:rsid w:val="00E62730"/>
    <w:rsid w:val="00E6284F"/>
    <w:rsid w:val="00E62B8B"/>
    <w:rsid w:val="00E630B8"/>
    <w:rsid w:val="00E63396"/>
    <w:rsid w:val="00E6360A"/>
    <w:rsid w:val="00E636D4"/>
    <w:rsid w:val="00E637AB"/>
    <w:rsid w:val="00E63D29"/>
    <w:rsid w:val="00E64355"/>
    <w:rsid w:val="00E64400"/>
    <w:rsid w:val="00E64567"/>
    <w:rsid w:val="00E645EF"/>
    <w:rsid w:val="00E64615"/>
    <w:rsid w:val="00E6498A"/>
    <w:rsid w:val="00E64A18"/>
    <w:rsid w:val="00E64BB0"/>
    <w:rsid w:val="00E65438"/>
    <w:rsid w:val="00E65979"/>
    <w:rsid w:val="00E65A02"/>
    <w:rsid w:val="00E65B71"/>
    <w:rsid w:val="00E66176"/>
    <w:rsid w:val="00E66452"/>
    <w:rsid w:val="00E66ADA"/>
    <w:rsid w:val="00E674C1"/>
    <w:rsid w:val="00E6750B"/>
    <w:rsid w:val="00E679EF"/>
    <w:rsid w:val="00E7030D"/>
    <w:rsid w:val="00E70748"/>
    <w:rsid w:val="00E707FE"/>
    <w:rsid w:val="00E70E2D"/>
    <w:rsid w:val="00E70FF1"/>
    <w:rsid w:val="00E7125D"/>
    <w:rsid w:val="00E71723"/>
    <w:rsid w:val="00E71926"/>
    <w:rsid w:val="00E71AAB"/>
    <w:rsid w:val="00E71BB4"/>
    <w:rsid w:val="00E7221E"/>
    <w:rsid w:val="00E722BC"/>
    <w:rsid w:val="00E722C6"/>
    <w:rsid w:val="00E72A2C"/>
    <w:rsid w:val="00E72B09"/>
    <w:rsid w:val="00E72BC5"/>
    <w:rsid w:val="00E72DB8"/>
    <w:rsid w:val="00E7309D"/>
    <w:rsid w:val="00E734CB"/>
    <w:rsid w:val="00E735F2"/>
    <w:rsid w:val="00E73615"/>
    <w:rsid w:val="00E73841"/>
    <w:rsid w:val="00E73976"/>
    <w:rsid w:val="00E742CD"/>
    <w:rsid w:val="00E74FB6"/>
    <w:rsid w:val="00E75356"/>
    <w:rsid w:val="00E7537E"/>
    <w:rsid w:val="00E754BB"/>
    <w:rsid w:val="00E75896"/>
    <w:rsid w:val="00E75DAE"/>
    <w:rsid w:val="00E75F59"/>
    <w:rsid w:val="00E760DB"/>
    <w:rsid w:val="00E7626E"/>
    <w:rsid w:val="00E76429"/>
    <w:rsid w:val="00E766E3"/>
    <w:rsid w:val="00E76A87"/>
    <w:rsid w:val="00E76FCF"/>
    <w:rsid w:val="00E771F5"/>
    <w:rsid w:val="00E7793F"/>
    <w:rsid w:val="00E77E4B"/>
    <w:rsid w:val="00E80394"/>
    <w:rsid w:val="00E803FE"/>
    <w:rsid w:val="00E806C3"/>
    <w:rsid w:val="00E80C95"/>
    <w:rsid w:val="00E80CC0"/>
    <w:rsid w:val="00E81BB1"/>
    <w:rsid w:val="00E81C2E"/>
    <w:rsid w:val="00E81D02"/>
    <w:rsid w:val="00E82145"/>
    <w:rsid w:val="00E8273A"/>
    <w:rsid w:val="00E82A0E"/>
    <w:rsid w:val="00E82DBE"/>
    <w:rsid w:val="00E82EBA"/>
    <w:rsid w:val="00E82FCA"/>
    <w:rsid w:val="00E83232"/>
    <w:rsid w:val="00E833EC"/>
    <w:rsid w:val="00E8356B"/>
    <w:rsid w:val="00E83CF9"/>
    <w:rsid w:val="00E8417B"/>
    <w:rsid w:val="00E846B8"/>
    <w:rsid w:val="00E84D1C"/>
    <w:rsid w:val="00E84F38"/>
    <w:rsid w:val="00E852DD"/>
    <w:rsid w:val="00E8549B"/>
    <w:rsid w:val="00E859AB"/>
    <w:rsid w:val="00E85E42"/>
    <w:rsid w:val="00E8606E"/>
    <w:rsid w:val="00E86381"/>
    <w:rsid w:val="00E863CE"/>
    <w:rsid w:val="00E86515"/>
    <w:rsid w:val="00E87855"/>
    <w:rsid w:val="00E878EC"/>
    <w:rsid w:val="00E87C3E"/>
    <w:rsid w:val="00E87C51"/>
    <w:rsid w:val="00E87D08"/>
    <w:rsid w:val="00E87F1E"/>
    <w:rsid w:val="00E90436"/>
    <w:rsid w:val="00E908CF"/>
    <w:rsid w:val="00E90A69"/>
    <w:rsid w:val="00E91231"/>
    <w:rsid w:val="00E9138E"/>
    <w:rsid w:val="00E9159C"/>
    <w:rsid w:val="00E91649"/>
    <w:rsid w:val="00E91C5B"/>
    <w:rsid w:val="00E92ADF"/>
    <w:rsid w:val="00E933AC"/>
    <w:rsid w:val="00E9497A"/>
    <w:rsid w:val="00E949D3"/>
    <w:rsid w:val="00E94B22"/>
    <w:rsid w:val="00E94D6A"/>
    <w:rsid w:val="00E94DF0"/>
    <w:rsid w:val="00E95199"/>
    <w:rsid w:val="00E953A5"/>
    <w:rsid w:val="00E95466"/>
    <w:rsid w:val="00E957A2"/>
    <w:rsid w:val="00E9584C"/>
    <w:rsid w:val="00E958F1"/>
    <w:rsid w:val="00E959E8"/>
    <w:rsid w:val="00E96455"/>
    <w:rsid w:val="00E965BC"/>
    <w:rsid w:val="00E965ED"/>
    <w:rsid w:val="00E96634"/>
    <w:rsid w:val="00E96855"/>
    <w:rsid w:val="00E975A4"/>
    <w:rsid w:val="00EA0CC4"/>
    <w:rsid w:val="00EA13BF"/>
    <w:rsid w:val="00EA13FD"/>
    <w:rsid w:val="00EA1656"/>
    <w:rsid w:val="00EA1BBB"/>
    <w:rsid w:val="00EA2380"/>
    <w:rsid w:val="00EA2C30"/>
    <w:rsid w:val="00EA2CB7"/>
    <w:rsid w:val="00EA2DD9"/>
    <w:rsid w:val="00EA3435"/>
    <w:rsid w:val="00EA43FC"/>
    <w:rsid w:val="00EA4E49"/>
    <w:rsid w:val="00EA51C2"/>
    <w:rsid w:val="00EA5582"/>
    <w:rsid w:val="00EA5A2A"/>
    <w:rsid w:val="00EA60EC"/>
    <w:rsid w:val="00EA6374"/>
    <w:rsid w:val="00EA669D"/>
    <w:rsid w:val="00EA6C55"/>
    <w:rsid w:val="00EA7446"/>
    <w:rsid w:val="00EB0679"/>
    <w:rsid w:val="00EB06B1"/>
    <w:rsid w:val="00EB06DD"/>
    <w:rsid w:val="00EB0959"/>
    <w:rsid w:val="00EB0B01"/>
    <w:rsid w:val="00EB0CE3"/>
    <w:rsid w:val="00EB15BE"/>
    <w:rsid w:val="00EB15E4"/>
    <w:rsid w:val="00EB1947"/>
    <w:rsid w:val="00EB1964"/>
    <w:rsid w:val="00EB1DD4"/>
    <w:rsid w:val="00EB2719"/>
    <w:rsid w:val="00EB2801"/>
    <w:rsid w:val="00EB312F"/>
    <w:rsid w:val="00EB33B1"/>
    <w:rsid w:val="00EB35D8"/>
    <w:rsid w:val="00EB367F"/>
    <w:rsid w:val="00EB3716"/>
    <w:rsid w:val="00EB378C"/>
    <w:rsid w:val="00EB3B93"/>
    <w:rsid w:val="00EB3C93"/>
    <w:rsid w:val="00EB3E6F"/>
    <w:rsid w:val="00EB3EF4"/>
    <w:rsid w:val="00EB4056"/>
    <w:rsid w:val="00EB43BA"/>
    <w:rsid w:val="00EB4894"/>
    <w:rsid w:val="00EB4FF7"/>
    <w:rsid w:val="00EB503F"/>
    <w:rsid w:val="00EB50FD"/>
    <w:rsid w:val="00EB575F"/>
    <w:rsid w:val="00EB59A8"/>
    <w:rsid w:val="00EB5AA6"/>
    <w:rsid w:val="00EB693F"/>
    <w:rsid w:val="00EB695C"/>
    <w:rsid w:val="00EB6C89"/>
    <w:rsid w:val="00EB6FA6"/>
    <w:rsid w:val="00EB7233"/>
    <w:rsid w:val="00EB7250"/>
    <w:rsid w:val="00EB7436"/>
    <w:rsid w:val="00EB7D3A"/>
    <w:rsid w:val="00EC005A"/>
    <w:rsid w:val="00EC0167"/>
    <w:rsid w:val="00EC05B6"/>
    <w:rsid w:val="00EC0666"/>
    <w:rsid w:val="00EC0B95"/>
    <w:rsid w:val="00EC0CF2"/>
    <w:rsid w:val="00EC12D6"/>
    <w:rsid w:val="00EC20C9"/>
    <w:rsid w:val="00EC2166"/>
    <w:rsid w:val="00EC272E"/>
    <w:rsid w:val="00EC273E"/>
    <w:rsid w:val="00EC475D"/>
    <w:rsid w:val="00EC4876"/>
    <w:rsid w:val="00EC4ED4"/>
    <w:rsid w:val="00EC5042"/>
    <w:rsid w:val="00EC50B7"/>
    <w:rsid w:val="00EC5607"/>
    <w:rsid w:val="00EC5899"/>
    <w:rsid w:val="00EC59A2"/>
    <w:rsid w:val="00EC60A2"/>
    <w:rsid w:val="00EC633F"/>
    <w:rsid w:val="00EC6D09"/>
    <w:rsid w:val="00EC70D3"/>
    <w:rsid w:val="00EC739D"/>
    <w:rsid w:val="00EC79AA"/>
    <w:rsid w:val="00EC7DD8"/>
    <w:rsid w:val="00EC7F35"/>
    <w:rsid w:val="00EC7FA3"/>
    <w:rsid w:val="00ED017D"/>
    <w:rsid w:val="00ED02AB"/>
    <w:rsid w:val="00ED02E6"/>
    <w:rsid w:val="00ED0328"/>
    <w:rsid w:val="00ED04FB"/>
    <w:rsid w:val="00ED0516"/>
    <w:rsid w:val="00ED0619"/>
    <w:rsid w:val="00ED163A"/>
    <w:rsid w:val="00ED17E7"/>
    <w:rsid w:val="00ED1893"/>
    <w:rsid w:val="00ED1D71"/>
    <w:rsid w:val="00ED2544"/>
    <w:rsid w:val="00ED2B7E"/>
    <w:rsid w:val="00ED36E6"/>
    <w:rsid w:val="00ED3705"/>
    <w:rsid w:val="00ED3B86"/>
    <w:rsid w:val="00ED417C"/>
    <w:rsid w:val="00ED4351"/>
    <w:rsid w:val="00ED47D4"/>
    <w:rsid w:val="00ED4955"/>
    <w:rsid w:val="00ED4971"/>
    <w:rsid w:val="00ED4AD7"/>
    <w:rsid w:val="00ED4C35"/>
    <w:rsid w:val="00ED5075"/>
    <w:rsid w:val="00ED5115"/>
    <w:rsid w:val="00ED5560"/>
    <w:rsid w:val="00ED56CC"/>
    <w:rsid w:val="00ED585E"/>
    <w:rsid w:val="00ED5E81"/>
    <w:rsid w:val="00ED6083"/>
    <w:rsid w:val="00ED613D"/>
    <w:rsid w:val="00ED6C45"/>
    <w:rsid w:val="00ED6EE6"/>
    <w:rsid w:val="00ED7245"/>
    <w:rsid w:val="00ED726E"/>
    <w:rsid w:val="00ED77DC"/>
    <w:rsid w:val="00ED7BB2"/>
    <w:rsid w:val="00ED7E8C"/>
    <w:rsid w:val="00EE0871"/>
    <w:rsid w:val="00EE0D6E"/>
    <w:rsid w:val="00EE0E5A"/>
    <w:rsid w:val="00EE1058"/>
    <w:rsid w:val="00EE1251"/>
    <w:rsid w:val="00EE130E"/>
    <w:rsid w:val="00EE148B"/>
    <w:rsid w:val="00EE16D8"/>
    <w:rsid w:val="00EE17BB"/>
    <w:rsid w:val="00EE19E7"/>
    <w:rsid w:val="00EE1B54"/>
    <w:rsid w:val="00EE1E16"/>
    <w:rsid w:val="00EE2153"/>
    <w:rsid w:val="00EE23B4"/>
    <w:rsid w:val="00EE2930"/>
    <w:rsid w:val="00EE3150"/>
    <w:rsid w:val="00EE3248"/>
    <w:rsid w:val="00EE3FDA"/>
    <w:rsid w:val="00EE4165"/>
    <w:rsid w:val="00EE44B0"/>
    <w:rsid w:val="00EE4BF8"/>
    <w:rsid w:val="00EE4D62"/>
    <w:rsid w:val="00EE5081"/>
    <w:rsid w:val="00EE5325"/>
    <w:rsid w:val="00EE539B"/>
    <w:rsid w:val="00EE5582"/>
    <w:rsid w:val="00EE564E"/>
    <w:rsid w:val="00EE5771"/>
    <w:rsid w:val="00EE5A01"/>
    <w:rsid w:val="00EE5C21"/>
    <w:rsid w:val="00EE602C"/>
    <w:rsid w:val="00EE60A5"/>
    <w:rsid w:val="00EE62E3"/>
    <w:rsid w:val="00EE6483"/>
    <w:rsid w:val="00EE687D"/>
    <w:rsid w:val="00EE6A95"/>
    <w:rsid w:val="00EE6C36"/>
    <w:rsid w:val="00EE6C44"/>
    <w:rsid w:val="00EE7646"/>
    <w:rsid w:val="00EE7AC0"/>
    <w:rsid w:val="00EE7DF4"/>
    <w:rsid w:val="00EF0218"/>
    <w:rsid w:val="00EF03DA"/>
    <w:rsid w:val="00EF0C96"/>
    <w:rsid w:val="00EF0D7F"/>
    <w:rsid w:val="00EF1AEC"/>
    <w:rsid w:val="00EF1B43"/>
    <w:rsid w:val="00EF1BB0"/>
    <w:rsid w:val="00EF1C74"/>
    <w:rsid w:val="00EF29F1"/>
    <w:rsid w:val="00EF2A1B"/>
    <w:rsid w:val="00EF2B0C"/>
    <w:rsid w:val="00EF2D67"/>
    <w:rsid w:val="00EF307C"/>
    <w:rsid w:val="00EF312E"/>
    <w:rsid w:val="00EF33CE"/>
    <w:rsid w:val="00EF3511"/>
    <w:rsid w:val="00EF35D4"/>
    <w:rsid w:val="00EF36DF"/>
    <w:rsid w:val="00EF38BF"/>
    <w:rsid w:val="00EF39A3"/>
    <w:rsid w:val="00EF3F7B"/>
    <w:rsid w:val="00EF4515"/>
    <w:rsid w:val="00EF4594"/>
    <w:rsid w:val="00EF4690"/>
    <w:rsid w:val="00EF476C"/>
    <w:rsid w:val="00EF4921"/>
    <w:rsid w:val="00EF4A7B"/>
    <w:rsid w:val="00EF4B8D"/>
    <w:rsid w:val="00EF4D37"/>
    <w:rsid w:val="00EF5501"/>
    <w:rsid w:val="00EF56FD"/>
    <w:rsid w:val="00EF5AEE"/>
    <w:rsid w:val="00EF5C07"/>
    <w:rsid w:val="00EF5EC7"/>
    <w:rsid w:val="00EF61DB"/>
    <w:rsid w:val="00EF695C"/>
    <w:rsid w:val="00EF6A01"/>
    <w:rsid w:val="00EF6D9D"/>
    <w:rsid w:val="00EF732C"/>
    <w:rsid w:val="00EF7677"/>
    <w:rsid w:val="00EF7DCB"/>
    <w:rsid w:val="00EF7F83"/>
    <w:rsid w:val="00F0014F"/>
    <w:rsid w:val="00F0016F"/>
    <w:rsid w:val="00F006A7"/>
    <w:rsid w:val="00F006E4"/>
    <w:rsid w:val="00F00776"/>
    <w:rsid w:val="00F00B43"/>
    <w:rsid w:val="00F00C1D"/>
    <w:rsid w:val="00F00D0D"/>
    <w:rsid w:val="00F00EC4"/>
    <w:rsid w:val="00F00F38"/>
    <w:rsid w:val="00F00FBC"/>
    <w:rsid w:val="00F0132F"/>
    <w:rsid w:val="00F01512"/>
    <w:rsid w:val="00F01771"/>
    <w:rsid w:val="00F01A6C"/>
    <w:rsid w:val="00F01CD3"/>
    <w:rsid w:val="00F01EB6"/>
    <w:rsid w:val="00F0232F"/>
    <w:rsid w:val="00F023C6"/>
    <w:rsid w:val="00F02F7E"/>
    <w:rsid w:val="00F0318D"/>
    <w:rsid w:val="00F0321E"/>
    <w:rsid w:val="00F0361C"/>
    <w:rsid w:val="00F03A7B"/>
    <w:rsid w:val="00F03B86"/>
    <w:rsid w:val="00F03C1E"/>
    <w:rsid w:val="00F03D9C"/>
    <w:rsid w:val="00F03DD6"/>
    <w:rsid w:val="00F04214"/>
    <w:rsid w:val="00F043EF"/>
    <w:rsid w:val="00F05678"/>
    <w:rsid w:val="00F0567D"/>
    <w:rsid w:val="00F05BD3"/>
    <w:rsid w:val="00F06022"/>
    <w:rsid w:val="00F06190"/>
    <w:rsid w:val="00F062D7"/>
    <w:rsid w:val="00F06745"/>
    <w:rsid w:val="00F06B3F"/>
    <w:rsid w:val="00F06C4F"/>
    <w:rsid w:val="00F0719A"/>
    <w:rsid w:val="00F072AE"/>
    <w:rsid w:val="00F0730A"/>
    <w:rsid w:val="00F073EA"/>
    <w:rsid w:val="00F07896"/>
    <w:rsid w:val="00F07AC6"/>
    <w:rsid w:val="00F07BA8"/>
    <w:rsid w:val="00F101AC"/>
    <w:rsid w:val="00F1081A"/>
    <w:rsid w:val="00F10C55"/>
    <w:rsid w:val="00F10D51"/>
    <w:rsid w:val="00F110FA"/>
    <w:rsid w:val="00F11303"/>
    <w:rsid w:val="00F115EC"/>
    <w:rsid w:val="00F12691"/>
    <w:rsid w:val="00F13248"/>
    <w:rsid w:val="00F132A4"/>
    <w:rsid w:val="00F1347B"/>
    <w:rsid w:val="00F13564"/>
    <w:rsid w:val="00F136DD"/>
    <w:rsid w:val="00F13A19"/>
    <w:rsid w:val="00F13BB3"/>
    <w:rsid w:val="00F13D7E"/>
    <w:rsid w:val="00F14047"/>
    <w:rsid w:val="00F1490E"/>
    <w:rsid w:val="00F14AC9"/>
    <w:rsid w:val="00F14ADE"/>
    <w:rsid w:val="00F152D6"/>
    <w:rsid w:val="00F1588B"/>
    <w:rsid w:val="00F159B9"/>
    <w:rsid w:val="00F15C7B"/>
    <w:rsid w:val="00F15EA4"/>
    <w:rsid w:val="00F1620C"/>
    <w:rsid w:val="00F17111"/>
    <w:rsid w:val="00F1754F"/>
    <w:rsid w:val="00F1755C"/>
    <w:rsid w:val="00F175FD"/>
    <w:rsid w:val="00F17781"/>
    <w:rsid w:val="00F178BE"/>
    <w:rsid w:val="00F17E1D"/>
    <w:rsid w:val="00F17FF9"/>
    <w:rsid w:val="00F20462"/>
    <w:rsid w:val="00F2065D"/>
    <w:rsid w:val="00F21B8C"/>
    <w:rsid w:val="00F21C72"/>
    <w:rsid w:val="00F21D0B"/>
    <w:rsid w:val="00F2210D"/>
    <w:rsid w:val="00F2216F"/>
    <w:rsid w:val="00F22578"/>
    <w:rsid w:val="00F23134"/>
    <w:rsid w:val="00F238D2"/>
    <w:rsid w:val="00F23AAB"/>
    <w:rsid w:val="00F2405E"/>
    <w:rsid w:val="00F2411C"/>
    <w:rsid w:val="00F24281"/>
    <w:rsid w:val="00F2450A"/>
    <w:rsid w:val="00F2465C"/>
    <w:rsid w:val="00F249D2"/>
    <w:rsid w:val="00F24C32"/>
    <w:rsid w:val="00F24EBF"/>
    <w:rsid w:val="00F25109"/>
    <w:rsid w:val="00F25560"/>
    <w:rsid w:val="00F2581F"/>
    <w:rsid w:val="00F263D9"/>
    <w:rsid w:val="00F26475"/>
    <w:rsid w:val="00F26721"/>
    <w:rsid w:val="00F26865"/>
    <w:rsid w:val="00F26967"/>
    <w:rsid w:val="00F26D11"/>
    <w:rsid w:val="00F27156"/>
    <w:rsid w:val="00F2758F"/>
    <w:rsid w:val="00F279B8"/>
    <w:rsid w:val="00F27B13"/>
    <w:rsid w:val="00F3033A"/>
    <w:rsid w:val="00F3074E"/>
    <w:rsid w:val="00F30936"/>
    <w:rsid w:val="00F3115F"/>
    <w:rsid w:val="00F311BF"/>
    <w:rsid w:val="00F3175A"/>
    <w:rsid w:val="00F31CCE"/>
    <w:rsid w:val="00F31CD9"/>
    <w:rsid w:val="00F32149"/>
    <w:rsid w:val="00F3231E"/>
    <w:rsid w:val="00F32D6D"/>
    <w:rsid w:val="00F33681"/>
    <w:rsid w:val="00F3370B"/>
    <w:rsid w:val="00F33BD9"/>
    <w:rsid w:val="00F34707"/>
    <w:rsid w:val="00F34A91"/>
    <w:rsid w:val="00F34DCE"/>
    <w:rsid w:val="00F34F03"/>
    <w:rsid w:val="00F35039"/>
    <w:rsid w:val="00F35101"/>
    <w:rsid w:val="00F351DC"/>
    <w:rsid w:val="00F35BFD"/>
    <w:rsid w:val="00F35EBE"/>
    <w:rsid w:val="00F364A6"/>
    <w:rsid w:val="00F36EE2"/>
    <w:rsid w:val="00F3726A"/>
    <w:rsid w:val="00F37993"/>
    <w:rsid w:val="00F37DFB"/>
    <w:rsid w:val="00F404A2"/>
    <w:rsid w:val="00F40F05"/>
    <w:rsid w:val="00F41BA7"/>
    <w:rsid w:val="00F42613"/>
    <w:rsid w:val="00F427EB"/>
    <w:rsid w:val="00F42A7B"/>
    <w:rsid w:val="00F42B39"/>
    <w:rsid w:val="00F42C9B"/>
    <w:rsid w:val="00F43160"/>
    <w:rsid w:val="00F4323A"/>
    <w:rsid w:val="00F43817"/>
    <w:rsid w:val="00F43A48"/>
    <w:rsid w:val="00F43A75"/>
    <w:rsid w:val="00F43C2F"/>
    <w:rsid w:val="00F443C7"/>
    <w:rsid w:val="00F4444E"/>
    <w:rsid w:val="00F44657"/>
    <w:rsid w:val="00F44B7B"/>
    <w:rsid w:val="00F455F3"/>
    <w:rsid w:val="00F45CE7"/>
    <w:rsid w:val="00F45E2C"/>
    <w:rsid w:val="00F465B1"/>
    <w:rsid w:val="00F46756"/>
    <w:rsid w:val="00F46788"/>
    <w:rsid w:val="00F46A12"/>
    <w:rsid w:val="00F46A5E"/>
    <w:rsid w:val="00F46E18"/>
    <w:rsid w:val="00F47145"/>
    <w:rsid w:val="00F474C4"/>
    <w:rsid w:val="00F4755B"/>
    <w:rsid w:val="00F47572"/>
    <w:rsid w:val="00F477DE"/>
    <w:rsid w:val="00F47A07"/>
    <w:rsid w:val="00F47E33"/>
    <w:rsid w:val="00F502B4"/>
    <w:rsid w:val="00F50475"/>
    <w:rsid w:val="00F50A4F"/>
    <w:rsid w:val="00F51096"/>
    <w:rsid w:val="00F51413"/>
    <w:rsid w:val="00F515C9"/>
    <w:rsid w:val="00F51781"/>
    <w:rsid w:val="00F517B7"/>
    <w:rsid w:val="00F517FC"/>
    <w:rsid w:val="00F51994"/>
    <w:rsid w:val="00F51EE6"/>
    <w:rsid w:val="00F5247C"/>
    <w:rsid w:val="00F525CC"/>
    <w:rsid w:val="00F52858"/>
    <w:rsid w:val="00F52EC4"/>
    <w:rsid w:val="00F5331A"/>
    <w:rsid w:val="00F5354A"/>
    <w:rsid w:val="00F53720"/>
    <w:rsid w:val="00F53740"/>
    <w:rsid w:val="00F53817"/>
    <w:rsid w:val="00F538D8"/>
    <w:rsid w:val="00F53E5F"/>
    <w:rsid w:val="00F5406D"/>
    <w:rsid w:val="00F540C7"/>
    <w:rsid w:val="00F54129"/>
    <w:rsid w:val="00F5419A"/>
    <w:rsid w:val="00F545E0"/>
    <w:rsid w:val="00F545EE"/>
    <w:rsid w:val="00F546FD"/>
    <w:rsid w:val="00F54E1E"/>
    <w:rsid w:val="00F5501A"/>
    <w:rsid w:val="00F55251"/>
    <w:rsid w:val="00F553C5"/>
    <w:rsid w:val="00F5549C"/>
    <w:rsid w:val="00F55B06"/>
    <w:rsid w:val="00F55CAB"/>
    <w:rsid w:val="00F55DA0"/>
    <w:rsid w:val="00F55DF1"/>
    <w:rsid w:val="00F56007"/>
    <w:rsid w:val="00F564B1"/>
    <w:rsid w:val="00F56502"/>
    <w:rsid w:val="00F566AB"/>
    <w:rsid w:val="00F568AA"/>
    <w:rsid w:val="00F574D8"/>
    <w:rsid w:val="00F575E8"/>
    <w:rsid w:val="00F57956"/>
    <w:rsid w:val="00F57CEB"/>
    <w:rsid w:val="00F57E29"/>
    <w:rsid w:val="00F60330"/>
    <w:rsid w:val="00F6039C"/>
    <w:rsid w:val="00F609A0"/>
    <w:rsid w:val="00F60E04"/>
    <w:rsid w:val="00F61870"/>
    <w:rsid w:val="00F61893"/>
    <w:rsid w:val="00F61E8B"/>
    <w:rsid w:val="00F6288D"/>
    <w:rsid w:val="00F62E6F"/>
    <w:rsid w:val="00F630AF"/>
    <w:rsid w:val="00F632B5"/>
    <w:rsid w:val="00F633CD"/>
    <w:rsid w:val="00F63680"/>
    <w:rsid w:val="00F63A3C"/>
    <w:rsid w:val="00F63D77"/>
    <w:rsid w:val="00F63F6B"/>
    <w:rsid w:val="00F63FDF"/>
    <w:rsid w:val="00F64096"/>
    <w:rsid w:val="00F64964"/>
    <w:rsid w:val="00F64AEE"/>
    <w:rsid w:val="00F64D2F"/>
    <w:rsid w:val="00F6509A"/>
    <w:rsid w:val="00F6608E"/>
    <w:rsid w:val="00F6620B"/>
    <w:rsid w:val="00F6625F"/>
    <w:rsid w:val="00F66631"/>
    <w:rsid w:val="00F66722"/>
    <w:rsid w:val="00F66B82"/>
    <w:rsid w:val="00F66C8A"/>
    <w:rsid w:val="00F676F9"/>
    <w:rsid w:val="00F6775D"/>
    <w:rsid w:val="00F677EA"/>
    <w:rsid w:val="00F679DE"/>
    <w:rsid w:val="00F67D52"/>
    <w:rsid w:val="00F67DD2"/>
    <w:rsid w:val="00F70308"/>
    <w:rsid w:val="00F703BD"/>
    <w:rsid w:val="00F705EC"/>
    <w:rsid w:val="00F70602"/>
    <w:rsid w:val="00F70669"/>
    <w:rsid w:val="00F70F5B"/>
    <w:rsid w:val="00F7165F"/>
    <w:rsid w:val="00F71A12"/>
    <w:rsid w:val="00F71B1C"/>
    <w:rsid w:val="00F71B30"/>
    <w:rsid w:val="00F721F0"/>
    <w:rsid w:val="00F72482"/>
    <w:rsid w:val="00F72977"/>
    <w:rsid w:val="00F73476"/>
    <w:rsid w:val="00F7348B"/>
    <w:rsid w:val="00F73E97"/>
    <w:rsid w:val="00F73FA8"/>
    <w:rsid w:val="00F740C0"/>
    <w:rsid w:val="00F74539"/>
    <w:rsid w:val="00F74863"/>
    <w:rsid w:val="00F748AA"/>
    <w:rsid w:val="00F74E51"/>
    <w:rsid w:val="00F74F33"/>
    <w:rsid w:val="00F76162"/>
    <w:rsid w:val="00F761D4"/>
    <w:rsid w:val="00F764D0"/>
    <w:rsid w:val="00F764E9"/>
    <w:rsid w:val="00F76590"/>
    <w:rsid w:val="00F7665B"/>
    <w:rsid w:val="00F7688B"/>
    <w:rsid w:val="00F76C10"/>
    <w:rsid w:val="00F77977"/>
    <w:rsid w:val="00F77A4A"/>
    <w:rsid w:val="00F77A59"/>
    <w:rsid w:val="00F77DB5"/>
    <w:rsid w:val="00F80764"/>
    <w:rsid w:val="00F807EB"/>
    <w:rsid w:val="00F808CE"/>
    <w:rsid w:val="00F80A72"/>
    <w:rsid w:val="00F810C3"/>
    <w:rsid w:val="00F81370"/>
    <w:rsid w:val="00F816C4"/>
    <w:rsid w:val="00F81A28"/>
    <w:rsid w:val="00F81E5A"/>
    <w:rsid w:val="00F81FDD"/>
    <w:rsid w:val="00F821E8"/>
    <w:rsid w:val="00F82A66"/>
    <w:rsid w:val="00F82DD4"/>
    <w:rsid w:val="00F838D2"/>
    <w:rsid w:val="00F83BCA"/>
    <w:rsid w:val="00F83BCC"/>
    <w:rsid w:val="00F84160"/>
    <w:rsid w:val="00F844F2"/>
    <w:rsid w:val="00F84799"/>
    <w:rsid w:val="00F84C50"/>
    <w:rsid w:val="00F85925"/>
    <w:rsid w:val="00F85B3C"/>
    <w:rsid w:val="00F85F3E"/>
    <w:rsid w:val="00F865DF"/>
    <w:rsid w:val="00F86F69"/>
    <w:rsid w:val="00F871F7"/>
    <w:rsid w:val="00F8758B"/>
    <w:rsid w:val="00F87700"/>
    <w:rsid w:val="00F87947"/>
    <w:rsid w:val="00F87BD9"/>
    <w:rsid w:val="00F87F06"/>
    <w:rsid w:val="00F900C1"/>
    <w:rsid w:val="00F9096C"/>
    <w:rsid w:val="00F90AC7"/>
    <w:rsid w:val="00F90CEE"/>
    <w:rsid w:val="00F913C7"/>
    <w:rsid w:val="00F9153D"/>
    <w:rsid w:val="00F91ADB"/>
    <w:rsid w:val="00F92078"/>
    <w:rsid w:val="00F9219F"/>
    <w:rsid w:val="00F924AD"/>
    <w:rsid w:val="00F92F39"/>
    <w:rsid w:val="00F93032"/>
    <w:rsid w:val="00F930BC"/>
    <w:rsid w:val="00F934ED"/>
    <w:rsid w:val="00F93A88"/>
    <w:rsid w:val="00F93D58"/>
    <w:rsid w:val="00F942DB"/>
    <w:rsid w:val="00F94560"/>
    <w:rsid w:val="00F946C9"/>
    <w:rsid w:val="00F94C1F"/>
    <w:rsid w:val="00F94FCA"/>
    <w:rsid w:val="00F9509C"/>
    <w:rsid w:val="00F95449"/>
    <w:rsid w:val="00F9562F"/>
    <w:rsid w:val="00F956D6"/>
    <w:rsid w:val="00F956F9"/>
    <w:rsid w:val="00F957B7"/>
    <w:rsid w:val="00F95A96"/>
    <w:rsid w:val="00F95B1C"/>
    <w:rsid w:val="00F960CD"/>
    <w:rsid w:val="00F96281"/>
    <w:rsid w:val="00F9680A"/>
    <w:rsid w:val="00F96869"/>
    <w:rsid w:val="00F9686B"/>
    <w:rsid w:val="00F96A38"/>
    <w:rsid w:val="00F96B17"/>
    <w:rsid w:val="00F96CBA"/>
    <w:rsid w:val="00F96E18"/>
    <w:rsid w:val="00F9701E"/>
    <w:rsid w:val="00F9751F"/>
    <w:rsid w:val="00F97943"/>
    <w:rsid w:val="00F97E6C"/>
    <w:rsid w:val="00FA0351"/>
    <w:rsid w:val="00FA0F6F"/>
    <w:rsid w:val="00FA1134"/>
    <w:rsid w:val="00FA16B9"/>
    <w:rsid w:val="00FA1726"/>
    <w:rsid w:val="00FA1980"/>
    <w:rsid w:val="00FA1D87"/>
    <w:rsid w:val="00FA284D"/>
    <w:rsid w:val="00FA296B"/>
    <w:rsid w:val="00FA2FFA"/>
    <w:rsid w:val="00FA3470"/>
    <w:rsid w:val="00FA3B3A"/>
    <w:rsid w:val="00FA42D5"/>
    <w:rsid w:val="00FA45E6"/>
    <w:rsid w:val="00FA4688"/>
    <w:rsid w:val="00FA48B7"/>
    <w:rsid w:val="00FA5060"/>
    <w:rsid w:val="00FA50F9"/>
    <w:rsid w:val="00FA5574"/>
    <w:rsid w:val="00FA5580"/>
    <w:rsid w:val="00FA558C"/>
    <w:rsid w:val="00FA5B47"/>
    <w:rsid w:val="00FA5C3E"/>
    <w:rsid w:val="00FA6138"/>
    <w:rsid w:val="00FA6649"/>
    <w:rsid w:val="00FA66B1"/>
    <w:rsid w:val="00FA6982"/>
    <w:rsid w:val="00FA6FDB"/>
    <w:rsid w:val="00FA7140"/>
    <w:rsid w:val="00FA7211"/>
    <w:rsid w:val="00FA72E3"/>
    <w:rsid w:val="00FA7BF7"/>
    <w:rsid w:val="00FA7CC5"/>
    <w:rsid w:val="00FA7D6D"/>
    <w:rsid w:val="00FA7E55"/>
    <w:rsid w:val="00FA7F80"/>
    <w:rsid w:val="00FB01A0"/>
    <w:rsid w:val="00FB08FC"/>
    <w:rsid w:val="00FB0D95"/>
    <w:rsid w:val="00FB23A3"/>
    <w:rsid w:val="00FB26F2"/>
    <w:rsid w:val="00FB270D"/>
    <w:rsid w:val="00FB2909"/>
    <w:rsid w:val="00FB2C62"/>
    <w:rsid w:val="00FB2F0D"/>
    <w:rsid w:val="00FB32B9"/>
    <w:rsid w:val="00FB38F2"/>
    <w:rsid w:val="00FB3B9A"/>
    <w:rsid w:val="00FB435C"/>
    <w:rsid w:val="00FB45F6"/>
    <w:rsid w:val="00FB4B19"/>
    <w:rsid w:val="00FB4CDD"/>
    <w:rsid w:val="00FB5287"/>
    <w:rsid w:val="00FB5789"/>
    <w:rsid w:val="00FB5B35"/>
    <w:rsid w:val="00FB62AA"/>
    <w:rsid w:val="00FB6858"/>
    <w:rsid w:val="00FB6928"/>
    <w:rsid w:val="00FB6AB1"/>
    <w:rsid w:val="00FB6EB9"/>
    <w:rsid w:val="00FB6ECD"/>
    <w:rsid w:val="00FB6F2E"/>
    <w:rsid w:val="00FB6F82"/>
    <w:rsid w:val="00FB7190"/>
    <w:rsid w:val="00FB731C"/>
    <w:rsid w:val="00FB76C8"/>
    <w:rsid w:val="00FB76E5"/>
    <w:rsid w:val="00FB7A17"/>
    <w:rsid w:val="00FC030F"/>
    <w:rsid w:val="00FC092D"/>
    <w:rsid w:val="00FC0D64"/>
    <w:rsid w:val="00FC137A"/>
    <w:rsid w:val="00FC158F"/>
    <w:rsid w:val="00FC1D68"/>
    <w:rsid w:val="00FC1E65"/>
    <w:rsid w:val="00FC2119"/>
    <w:rsid w:val="00FC37C5"/>
    <w:rsid w:val="00FC3893"/>
    <w:rsid w:val="00FC3BC2"/>
    <w:rsid w:val="00FC3D1F"/>
    <w:rsid w:val="00FC426A"/>
    <w:rsid w:val="00FC4326"/>
    <w:rsid w:val="00FC4B88"/>
    <w:rsid w:val="00FC4C25"/>
    <w:rsid w:val="00FC4F30"/>
    <w:rsid w:val="00FC5426"/>
    <w:rsid w:val="00FC5AD5"/>
    <w:rsid w:val="00FC5BF2"/>
    <w:rsid w:val="00FC5D55"/>
    <w:rsid w:val="00FC5E15"/>
    <w:rsid w:val="00FC5F7A"/>
    <w:rsid w:val="00FC6103"/>
    <w:rsid w:val="00FC6371"/>
    <w:rsid w:val="00FC657E"/>
    <w:rsid w:val="00FC6872"/>
    <w:rsid w:val="00FC6B31"/>
    <w:rsid w:val="00FC6C2F"/>
    <w:rsid w:val="00FC6C40"/>
    <w:rsid w:val="00FC6D65"/>
    <w:rsid w:val="00FC736F"/>
    <w:rsid w:val="00FC7D05"/>
    <w:rsid w:val="00FC7E74"/>
    <w:rsid w:val="00FD020F"/>
    <w:rsid w:val="00FD04E9"/>
    <w:rsid w:val="00FD09EE"/>
    <w:rsid w:val="00FD0BD2"/>
    <w:rsid w:val="00FD1304"/>
    <w:rsid w:val="00FD13FA"/>
    <w:rsid w:val="00FD1421"/>
    <w:rsid w:val="00FD19EA"/>
    <w:rsid w:val="00FD1FF2"/>
    <w:rsid w:val="00FD24E5"/>
    <w:rsid w:val="00FD2986"/>
    <w:rsid w:val="00FD31E6"/>
    <w:rsid w:val="00FD3590"/>
    <w:rsid w:val="00FD41D8"/>
    <w:rsid w:val="00FD437B"/>
    <w:rsid w:val="00FD446E"/>
    <w:rsid w:val="00FD4626"/>
    <w:rsid w:val="00FD4881"/>
    <w:rsid w:val="00FD5525"/>
    <w:rsid w:val="00FD5553"/>
    <w:rsid w:val="00FD56F5"/>
    <w:rsid w:val="00FD58D9"/>
    <w:rsid w:val="00FD5B0B"/>
    <w:rsid w:val="00FD5C08"/>
    <w:rsid w:val="00FD5CF6"/>
    <w:rsid w:val="00FD60F3"/>
    <w:rsid w:val="00FD6209"/>
    <w:rsid w:val="00FD6996"/>
    <w:rsid w:val="00FD7798"/>
    <w:rsid w:val="00FD7917"/>
    <w:rsid w:val="00FD7B33"/>
    <w:rsid w:val="00FD7CC4"/>
    <w:rsid w:val="00FD7EC9"/>
    <w:rsid w:val="00FE036D"/>
    <w:rsid w:val="00FE0B2E"/>
    <w:rsid w:val="00FE14EC"/>
    <w:rsid w:val="00FE1887"/>
    <w:rsid w:val="00FE1ECC"/>
    <w:rsid w:val="00FE2122"/>
    <w:rsid w:val="00FE23B6"/>
    <w:rsid w:val="00FE29AA"/>
    <w:rsid w:val="00FE2D10"/>
    <w:rsid w:val="00FE3067"/>
    <w:rsid w:val="00FE3957"/>
    <w:rsid w:val="00FE3A5A"/>
    <w:rsid w:val="00FE3EC2"/>
    <w:rsid w:val="00FE3F6B"/>
    <w:rsid w:val="00FE4003"/>
    <w:rsid w:val="00FE4E99"/>
    <w:rsid w:val="00FE519B"/>
    <w:rsid w:val="00FE53A1"/>
    <w:rsid w:val="00FE5673"/>
    <w:rsid w:val="00FE5866"/>
    <w:rsid w:val="00FE60CA"/>
    <w:rsid w:val="00FE60D6"/>
    <w:rsid w:val="00FE692B"/>
    <w:rsid w:val="00FE6AC5"/>
    <w:rsid w:val="00FE6D55"/>
    <w:rsid w:val="00FE6E8C"/>
    <w:rsid w:val="00FE6EA1"/>
    <w:rsid w:val="00FE6F14"/>
    <w:rsid w:val="00FE7437"/>
    <w:rsid w:val="00FE799B"/>
    <w:rsid w:val="00FE7EBD"/>
    <w:rsid w:val="00FF09D0"/>
    <w:rsid w:val="00FF0A58"/>
    <w:rsid w:val="00FF0A75"/>
    <w:rsid w:val="00FF0FBF"/>
    <w:rsid w:val="00FF1241"/>
    <w:rsid w:val="00FF14E7"/>
    <w:rsid w:val="00FF1892"/>
    <w:rsid w:val="00FF1915"/>
    <w:rsid w:val="00FF198C"/>
    <w:rsid w:val="00FF1A9B"/>
    <w:rsid w:val="00FF2C6E"/>
    <w:rsid w:val="00FF2E3D"/>
    <w:rsid w:val="00FF32FB"/>
    <w:rsid w:val="00FF3986"/>
    <w:rsid w:val="00FF3A27"/>
    <w:rsid w:val="00FF3AB2"/>
    <w:rsid w:val="00FF3CB7"/>
    <w:rsid w:val="00FF3F46"/>
    <w:rsid w:val="00FF409C"/>
    <w:rsid w:val="00FF43D5"/>
    <w:rsid w:val="00FF4FEE"/>
    <w:rsid w:val="00FF52F7"/>
    <w:rsid w:val="00FF5417"/>
    <w:rsid w:val="00FF5869"/>
    <w:rsid w:val="00FF5ADC"/>
    <w:rsid w:val="00FF5B3D"/>
    <w:rsid w:val="00FF5C6B"/>
    <w:rsid w:val="00FF5CAC"/>
    <w:rsid w:val="00FF5EEB"/>
    <w:rsid w:val="00FF60D7"/>
    <w:rsid w:val="00FF6186"/>
    <w:rsid w:val="00FF65BC"/>
    <w:rsid w:val="00FF6A62"/>
    <w:rsid w:val="00FF6B1B"/>
    <w:rsid w:val="00FF703D"/>
    <w:rsid w:val="00FF711A"/>
    <w:rsid w:val="00FF7128"/>
    <w:rsid w:val="00FF7144"/>
    <w:rsid w:val="00FF7151"/>
    <w:rsid w:val="00FF71DE"/>
    <w:rsid w:val="00FF7592"/>
    <w:rsid w:val="00FF770B"/>
    <w:rsid w:val="00FF78EA"/>
    <w:rsid w:val="00FF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o:shapedefaults>
    <o:shapelayout v:ext="edit">
      <o:idmap v:ext="edit" data="2"/>
    </o:shapelayout>
  </w:shapeDefaults>
  <w:decimalSymbol w:val="."/>
  <w:listSeparator w:val=","/>
  <w14:docId w14:val="04FA1045"/>
  <w15:docId w15:val="{6952E2B8-4012-4DBB-AE1E-09730E8E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021E"/>
    <w:rPr>
      <w:rFonts w:ascii="Arial" w:hAnsi="Arial"/>
      <w:sz w:val="19"/>
      <w:szCs w:val="24"/>
    </w:rPr>
  </w:style>
  <w:style w:type="paragraph" w:styleId="Heading1">
    <w:name w:val="heading 1"/>
    <w:basedOn w:val="Normal"/>
    <w:next w:val="Normal"/>
    <w:link w:val="Heading1Char"/>
    <w:qFormat/>
    <w:rsid w:val="00F96869"/>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semiHidden/>
    <w:unhideWhenUsed/>
    <w:qFormat/>
    <w:rsid w:val="009661D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6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16A5A"/>
    <w:pPr>
      <w:tabs>
        <w:tab w:val="center" w:pos="4153"/>
        <w:tab w:val="right" w:pos="8306"/>
      </w:tabs>
    </w:pPr>
  </w:style>
  <w:style w:type="paragraph" w:styleId="Footer">
    <w:name w:val="footer"/>
    <w:basedOn w:val="Normal"/>
    <w:rsid w:val="00E16A5A"/>
    <w:pPr>
      <w:tabs>
        <w:tab w:val="center" w:pos="4153"/>
        <w:tab w:val="right" w:pos="8306"/>
      </w:tabs>
    </w:pPr>
  </w:style>
  <w:style w:type="character" w:styleId="Hyperlink">
    <w:name w:val="Hyperlink"/>
    <w:rsid w:val="00C61CDA"/>
    <w:rPr>
      <w:rFonts w:ascii="Verdana" w:hAnsi="Verdana"/>
      <w:color w:val="000080"/>
      <w:sz w:val="18"/>
      <w:szCs w:val="18"/>
      <w:u w:val="single" w:color="000080"/>
    </w:rPr>
  </w:style>
  <w:style w:type="character" w:styleId="FollowedHyperlink">
    <w:name w:val="FollowedHyperlink"/>
    <w:rsid w:val="00C61CDA"/>
    <w:rPr>
      <w:rFonts w:ascii="Verdana" w:hAnsi="Verdana"/>
      <w:color w:val="800080"/>
      <w:sz w:val="18"/>
      <w:szCs w:val="18"/>
      <w:u w:val="single" w:color="800080"/>
    </w:rPr>
  </w:style>
  <w:style w:type="paragraph" w:styleId="BalloonText">
    <w:name w:val="Balloon Text"/>
    <w:basedOn w:val="Normal"/>
    <w:semiHidden/>
    <w:rsid w:val="00B53715"/>
    <w:rPr>
      <w:rFonts w:ascii="Tahoma" w:hAnsi="Tahoma" w:cs="Tahoma"/>
      <w:sz w:val="16"/>
      <w:szCs w:val="16"/>
    </w:rPr>
  </w:style>
  <w:style w:type="paragraph" w:customStyle="1" w:styleId="Default">
    <w:name w:val="Default"/>
    <w:rsid w:val="0076397D"/>
    <w:pPr>
      <w:autoSpaceDE w:val="0"/>
      <w:autoSpaceDN w:val="0"/>
      <w:adjustRightInd w:val="0"/>
    </w:pPr>
    <w:rPr>
      <w:rFonts w:ascii="Verdana" w:hAnsi="Verdana" w:cs="Verdana"/>
      <w:color w:val="000000"/>
      <w:sz w:val="24"/>
      <w:szCs w:val="24"/>
    </w:rPr>
  </w:style>
  <w:style w:type="character" w:styleId="CommentReference">
    <w:name w:val="annotation reference"/>
    <w:rsid w:val="00C273F9"/>
    <w:rPr>
      <w:sz w:val="16"/>
      <w:szCs w:val="16"/>
    </w:rPr>
  </w:style>
  <w:style w:type="paragraph" w:styleId="CommentText">
    <w:name w:val="annotation text"/>
    <w:basedOn w:val="Normal"/>
    <w:link w:val="CommentTextChar"/>
    <w:rsid w:val="00C273F9"/>
    <w:rPr>
      <w:sz w:val="20"/>
      <w:szCs w:val="20"/>
    </w:rPr>
  </w:style>
  <w:style w:type="character" w:customStyle="1" w:styleId="CommentTextChar">
    <w:name w:val="Comment Text Char"/>
    <w:basedOn w:val="DefaultParagraphFont"/>
    <w:link w:val="CommentText"/>
    <w:rsid w:val="00C273F9"/>
  </w:style>
  <w:style w:type="paragraph" w:styleId="CommentSubject">
    <w:name w:val="annotation subject"/>
    <w:basedOn w:val="CommentText"/>
    <w:next w:val="CommentText"/>
    <w:link w:val="CommentSubjectChar"/>
    <w:rsid w:val="00C273F9"/>
    <w:rPr>
      <w:b/>
      <w:bCs/>
    </w:rPr>
  </w:style>
  <w:style w:type="character" w:customStyle="1" w:styleId="CommentSubjectChar">
    <w:name w:val="Comment Subject Char"/>
    <w:link w:val="CommentSubject"/>
    <w:rsid w:val="00C273F9"/>
    <w:rPr>
      <w:b/>
      <w:bCs/>
    </w:rPr>
  </w:style>
  <w:style w:type="character" w:customStyle="1" w:styleId="Heading3Char">
    <w:name w:val="Heading 3 Char"/>
    <w:link w:val="Heading3"/>
    <w:semiHidden/>
    <w:rsid w:val="009661D0"/>
    <w:rPr>
      <w:rFonts w:ascii="Cambria" w:eastAsia="Times New Roman" w:hAnsi="Cambria" w:cs="Times New Roman"/>
      <w:b/>
      <w:bCs/>
      <w:sz w:val="26"/>
      <w:szCs w:val="26"/>
    </w:rPr>
  </w:style>
  <w:style w:type="character" w:customStyle="1" w:styleId="Heading1Char">
    <w:name w:val="Heading 1 Char"/>
    <w:link w:val="Heading1"/>
    <w:rsid w:val="00F96869"/>
    <w:rPr>
      <w:rFonts w:ascii="Cambria" w:eastAsia="Times New Roman" w:hAnsi="Cambria" w:cs="Times New Roman"/>
      <w:b/>
      <w:bCs/>
      <w:kern w:val="32"/>
      <w:sz w:val="32"/>
      <w:szCs w:val="32"/>
    </w:rPr>
  </w:style>
  <w:style w:type="paragraph" w:customStyle="1" w:styleId="Explanatorytext">
    <w:name w:val="Explanatory text"/>
    <w:basedOn w:val="Normal"/>
    <w:link w:val="ExplanatorytextChar"/>
    <w:qFormat/>
    <w:rsid w:val="00CD021E"/>
    <w:pPr>
      <w:tabs>
        <w:tab w:val="center" w:pos="3152"/>
      </w:tabs>
    </w:pPr>
    <w:rPr>
      <w:rFonts w:cs="Arial"/>
      <w:sz w:val="16"/>
      <w:szCs w:val="19"/>
      <w:lang w:val="en-US"/>
    </w:rPr>
  </w:style>
  <w:style w:type="character" w:customStyle="1" w:styleId="ExplanatorytextChar">
    <w:name w:val="Explanatory text Char"/>
    <w:basedOn w:val="DefaultParagraphFont"/>
    <w:link w:val="Explanatorytext"/>
    <w:rsid w:val="00CD021E"/>
    <w:rPr>
      <w:rFonts w:ascii="Arial" w:hAnsi="Arial" w:cs="Arial"/>
      <w:sz w:val="16"/>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655">
      <w:bodyDiv w:val="1"/>
      <w:marLeft w:val="0"/>
      <w:marRight w:val="0"/>
      <w:marTop w:val="0"/>
      <w:marBottom w:val="0"/>
      <w:divBdr>
        <w:top w:val="none" w:sz="0" w:space="0" w:color="auto"/>
        <w:left w:val="none" w:sz="0" w:space="0" w:color="auto"/>
        <w:bottom w:val="none" w:sz="0" w:space="0" w:color="auto"/>
        <w:right w:val="none" w:sz="0" w:space="0" w:color="auto"/>
      </w:divBdr>
    </w:div>
    <w:div w:id="18940625">
      <w:bodyDiv w:val="1"/>
      <w:marLeft w:val="0"/>
      <w:marRight w:val="0"/>
      <w:marTop w:val="0"/>
      <w:marBottom w:val="0"/>
      <w:divBdr>
        <w:top w:val="none" w:sz="0" w:space="0" w:color="auto"/>
        <w:left w:val="none" w:sz="0" w:space="0" w:color="auto"/>
        <w:bottom w:val="none" w:sz="0" w:space="0" w:color="auto"/>
        <w:right w:val="none" w:sz="0" w:space="0" w:color="auto"/>
      </w:divBdr>
    </w:div>
    <w:div w:id="36780126">
      <w:bodyDiv w:val="1"/>
      <w:marLeft w:val="0"/>
      <w:marRight w:val="0"/>
      <w:marTop w:val="0"/>
      <w:marBottom w:val="0"/>
      <w:divBdr>
        <w:top w:val="none" w:sz="0" w:space="0" w:color="auto"/>
        <w:left w:val="none" w:sz="0" w:space="0" w:color="auto"/>
        <w:bottom w:val="none" w:sz="0" w:space="0" w:color="auto"/>
        <w:right w:val="none" w:sz="0" w:space="0" w:color="auto"/>
      </w:divBdr>
    </w:div>
    <w:div w:id="44254406">
      <w:bodyDiv w:val="1"/>
      <w:marLeft w:val="0"/>
      <w:marRight w:val="0"/>
      <w:marTop w:val="0"/>
      <w:marBottom w:val="0"/>
      <w:divBdr>
        <w:top w:val="none" w:sz="0" w:space="0" w:color="auto"/>
        <w:left w:val="none" w:sz="0" w:space="0" w:color="auto"/>
        <w:bottom w:val="none" w:sz="0" w:space="0" w:color="auto"/>
        <w:right w:val="none" w:sz="0" w:space="0" w:color="auto"/>
      </w:divBdr>
    </w:div>
    <w:div w:id="49577063">
      <w:bodyDiv w:val="1"/>
      <w:marLeft w:val="0"/>
      <w:marRight w:val="0"/>
      <w:marTop w:val="0"/>
      <w:marBottom w:val="0"/>
      <w:divBdr>
        <w:top w:val="none" w:sz="0" w:space="0" w:color="auto"/>
        <w:left w:val="none" w:sz="0" w:space="0" w:color="auto"/>
        <w:bottom w:val="none" w:sz="0" w:space="0" w:color="auto"/>
        <w:right w:val="none" w:sz="0" w:space="0" w:color="auto"/>
      </w:divBdr>
    </w:div>
    <w:div w:id="50203157">
      <w:bodyDiv w:val="1"/>
      <w:marLeft w:val="0"/>
      <w:marRight w:val="0"/>
      <w:marTop w:val="0"/>
      <w:marBottom w:val="0"/>
      <w:divBdr>
        <w:top w:val="none" w:sz="0" w:space="0" w:color="auto"/>
        <w:left w:val="none" w:sz="0" w:space="0" w:color="auto"/>
        <w:bottom w:val="none" w:sz="0" w:space="0" w:color="auto"/>
        <w:right w:val="none" w:sz="0" w:space="0" w:color="auto"/>
      </w:divBdr>
    </w:div>
    <w:div w:id="75133025">
      <w:bodyDiv w:val="1"/>
      <w:marLeft w:val="0"/>
      <w:marRight w:val="0"/>
      <w:marTop w:val="0"/>
      <w:marBottom w:val="0"/>
      <w:divBdr>
        <w:top w:val="none" w:sz="0" w:space="0" w:color="auto"/>
        <w:left w:val="none" w:sz="0" w:space="0" w:color="auto"/>
        <w:bottom w:val="none" w:sz="0" w:space="0" w:color="auto"/>
        <w:right w:val="none" w:sz="0" w:space="0" w:color="auto"/>
      </w:divBdr>
    </w:div>
    <w:div w:id="105078129">
      <w:bodyDiv w:val="1"/>
      <w:marLeft w:val="0"/>
      <w:marRight w:val="0"/>
      <w:marTop w:val="0"/>
      <w:marBottom w:val="0"/>
      <w:divBdr>
        <w:top w:val="none" w:sz="0" w:space="0" w:color="auto"/>
        <w:left w:val="none" w:sz="0" w:space="0" w:color="auto"/>
        <w:bottom w:val="none" w:sz="0" w:space="0" w:color="auto"/>
        <w:right w:val="none" w:sz="0" w:space="0" w:color="auto"/>
      </w:divBdr>
    </w:div>
    <w:div w:id="166293802">
      <w:bodyDiv w:val="1"/>
      <w:marLeft w:val="0"/>
      <w:marRight w:val="0"/>
      <w:marTop w:val="0"/>
      <w:marBottom w:val="0"/>
      <w:divBdr>
        <w:top w:val="none" w:sz="0" w:space="0" w:color="auto"/>
        <w:left w:val="none" w:sz="0" w:space="0" w:color="auto"/>
        <w:bottom w:val="none" w:sz="0" w:space="0" w:color="auto"/>
        <w:right w:val="none" w:sz="0" w:space="0" w:color="auto"/>
      </w:divBdr>
    </w:div>
    <w:div w:id="182062482">
      <w:bodyDiv w:val="1"/>
      <w:marLeft w:val="0"/>
      <w:marRight w:val="0"/>
      <w:marTop w:val="0"/>
      <w:marBottom w:val="0"/>
      <w:divBdr>
        <w:top w:val="none" w:sz="0" w:space="0" w:color="auto"/>
        <w:left w:val="none" w:sz="0" w:space="0" w:color="auto"/>
        <w:bottom w:val="none" w:sz="0" w:space="0" w:color="auto"/>
        <w:right w:val="none" w:sz="0" w:space="0" w:color="auto"/>
      </w:divBdr>
    </w:div>
    <w:div w:id="188568170">
      <w:bodyDiv w:val="1"/>
      <w:marLeft w:val="0"/>
      <w:marRight w:val="0"/>
      <w:marTop w:val="0"/>
      <w:marBottom w:val="0"/>
      <w:divBdr>
        <w:top w:val="none" w:sz="0" w:space="0" w:color="auto"/>
        <w:left w:val="none" w:sz="0" w:space="0" w:color="auto"/>
        <w:bottom w:val="none" w:sz="0" w:space="0" w:color="auto"/>
        <w:right w:val="none" w:sz="0" w:space="0" w:color="auto"/>
      </w:divBdr>
    </w:div>
    <w:div w:id="196285041">
      <w:bodyDiv w:val="1"/>
      <w:marLeft w:val="0"/>
      <w:marRight w:val="0"/>
      <w:marTop w:val="0"/>
      <w:marBottom w:val="0"/>
      <w:divBdr>
        <w:top w:val="none" w:sz="0" w:space="0" w:color="auto"/>
        <w:left w:val="none" w:sz="0" w:space="0" w:color="auto"/>
        <w:bottom w:val="none" w:sz="0" w:space="0" w:color="auto"/>
        <w:right w:val="none" w:sz="0" w:space="0" w:color="auto"/>
      </w:divBdr>
    </w:div>
    <w:div w:id="205456442">
      <w:bodyDiv w:val="1"/>
      <w:marLeft w:val="0"/>
      <w:marRight w:val="0"/>
      <w:marTop w:val="0"/>
      <w:marBottom w:val="0"/>
      <w:divBdr>
        <w:top w:val="none" w:sz="0" w:space="0" w:color="auto"/>
        <w:left w:val="none" w:sz="0" w:space="0" w:color="auto"/>
        <w:bottom w:val="none" w:sz="0" w:space="0" w:color="auto"/>
        <w:right w:val="none" w:sz="0" w:space="0" w:color="auto"/>
      </w:divBdr>
    </w:div>
    <w:div w:id="225457942">
      <w:bodyDiv w:val="1"/>
      <w:marLeft w:val="0"/>
      <w:marRight w:val="0"/>
      <w:marTop w:val="0"/>
      <w:marBottom w:val="0"/>
      <w:divBdr>
        <w:top w:val="none" w:sz="0" w:space="0" w:color="auto"/>
        <w:left w:val="none" w:sz="0" w:space="0" w:color="auto"/>
        <w:bottom w:val="none" w:sz="0" w:space="0" w:color="auto"/>
        <w:right w:val="none" w:sz="0" w:space="0" w:color="auto"/>
      </w:divBdr>
    </w:div>
    <w:div w:id="241646439">
      <w:bodyDiv w:val="1"/>
      <w:marLeft w:val="0"/>
      <w:marRight w:val="0"/>
      <w:marTop w:val="0"/>
      <w:marBottom w:val="0"/>
      <w:divBdr>
        <w:top w:val="none" w:sz="0" w:space="0" w:color="auto"/>
        <w:left w:val="none" w:sz="0" w:space="0" w:color="auto"/>
        <w:bottom w:val="none" w:sz="0" w:space="0" w:color="auto"/>
        <w:right w:val="none" w:sz="0" w:space="0" w:color="auto"/>
      </w:divBdr>
    </w:div>
    <w:div w:id="262612622">
      <w:bodyDiv w:val="1"/>
      <w:marLeft w:val="0"/>
      <w:marRight w:val="0"/>
      <w:marTop w:val="0"/>
      <w:marBottom w:val="0"/>
      <w:divBdr>
        <w:top w:val="none" w:sz="0" w:space="0" w:color="auto"/>
        <w:left w:val="none" w:sz="0" w:space="0" w:color="auto"/>
        <w:bottom w:val="none" w:sz="0" w:space="0" w:color="auto"/>
        <w:right w:val="none" w:sz="0" w:space="0" w:color="auto"/>
      </w:divBdr>
    </w:div>
    <w:div w:id="268316975">
      <w:bodyDiv w:val="1"/>
      <w:marLeft w:val="0"/>
      <w:marRight w:val="0"/>
      <w:marTop w:val="0"/>
      <w:marBottom w:val="0"/>
      <w:divBdr>
        <w:top w:val="none" w:sz="0" w:space="0" w:color="auto"/>
        <w:left w:val="none" w:sz="0" w:space="0" w:color="auto"/>
        <w:bottom w:val="none" w:sz="0" w:space="0" w:color="auto"/>
        <w:right w:val="none" w:sz="0" w:space="0" w:color="auto"/>
      </w:divBdr>
    </w:div>
    <w:div w:id="271980019">
      <w:bodyDiv w:val="1"/>
      <w:marLeft w:val="0"/>
      <w:marRight w:val="0"/>
      <w:marTop w:val="0"/>
      <w:marBottom w:val="0"/>
      <w:divBdr>
        <w:top w:val="none" w:sz="0" w:space="0" w:color="auto"/>
        <w:left w:val="none" w:sz="0" w:space="0" w:color="auto"/>
        <w:bottom w:val="none" w:sz="0" w:space="0" w:color="auto"/>
        <w:right w:val="none" w:sz="0" w:space="0" w:color="auto"/>
      </w:divBdr>
    </w:div>
    <w:div w:id="281309733">
      <w:bodyDiv w:val="1"/>
      <w:marLeft w:val="0"/>
      <w:marRight w:val="0"/>
      <w:marTop w:val="0"/>
      <w:marBottom w:val="0"/>
      <w:divBdr>
        <w:top w:val="none" w:sz="0" w:space="0" w:color="auto"/>
        <w:left w:val="none" w:sz="0" w:space="0" w:color="auto"/>
        <w:bottom w:val="none" w:sz="0" w:space="0" w:color="auto"/>
        <w:right w:val="none" w:sz="0" w:space="0" w:color="auto"/>
      </w:divBdr>
    </w:div>
    <w:div w:id="299922167">
      <w:bodyDiv w:val="1"/>
      <w:marLeft w:val="0"/>
      <w:marRight w:val="0"/>
      <w:marTop w:val="0"/>
      <w:marBottom w:val="0"/>
      <w:divBdr>
        <w:top w:val="none" w:sz="0" w:space="0" w:color="auto"/>
        <w:left w:val="none" w:sz="0" w:space="0" w:color="auto"/>
        <w:bottom w:val="none" w:sz="0" w:space="0" w:color="auto"/>
        <w:right w:val="none" w:sz="0" w:space="0" w:color="auto"/>
      </w:divBdr>
    </w:div>
    <w:div w:id="301160891">
      <w:bodyDiv w:val="1"/>
      <w:marLeft w:val="0"/>
      <w:marRight w:val="0"/>
      <w:marTop w:val="0"/>
      <w:marBottom w:val="0"/>
      <w:divBdr>
        <w:top w:val="none" w:sz="0" w:space="0" w:color="auto"/>
        <w:left w:val="none" w:sz="0" w:space="0" w:color="auto"/>
        <w:bottom w:val="none" w:sz="0" w:space="0" w:color="auto"/>
        <w:right w:val="none" w:sz="0" w:space="0" w:color="auto"/>
      </w:divBdr>
    </w:div>
    <w:div w:id="304697955">
      <w:bodyDiv w:val="1"/>
      <w:marLeft w:val="0"/>
      <w:marRight w:val="0"/>
      <w:marTop w:val="0"/>
      <w:marBottom w:val="0"/>
      <w:divBdr>
        <w:top w:val="none" w:sz="0" w:space="0" w:color="auto"/>
        <w:left w:val="none" w:sz="0" w:space="0" w:color="auto"/>
        <w:bottom w:val="none" w:sz="0" w:space="0" w:color="auto"/>
        <w:right w:val="none" w:sz="0" w:space="0" w:color="auto"/>
      </w:divBdr>
    </w:div>
    <w:div w:id="313025055">
      <w:bodyDiv w:val="1"/>
      <w:marLeft w:val="0"/>
      <w:marRight w:val="0"/>
      <w:marTop w:val="0"/>
      <w:marBottom w:val="0"/>
      <w:divBdr>
        <w:top w:val="none" w:sz="0" w:space="0" w:color="auto"/>
        <w:left w:val="none" w:sz="0" w:space="0" w:color="auto"/>
        <w:bottom w:val="none" w:sz="0" w:space="0" w:color="auto"/>
        <w:right w:val="none" w:sz="0" w:space="0" w:color="auto"/>
      </w:divBdr>
    </w:div>
    <w:div w:id="329790941">
      <w:bodyDiv w:val="1"/>
      <w:marLeft w:val="0"/>
      <w:marRight w:val="0"/>
      <w:marTop w:val="0"/>
      <w:marBottom w:val="0"/>
      <w:divBdr>
        <w:top w:val="none" w:sz="0" w:space="0" w:color="auto"/>
        <w:left w:val="none" w:sz="0" w:space="0" w:color="auto"/>
        <w:bottom w:val="none" w:sz="0" w:space="0" w:color="auto"/>
        <w:right w:val="none" w:sz="0" w:space="0" w:color="auto"/>
      </w:divBdr>
    </w:div>
    <w:div w:id="350422774">
      <w:bodyDiv w:val="1"/>
      <w:marLeft w:val="0"/>
      <w:marRight w:val="0"/>
      <w:marTop w:val="0"/>
      <w:marBottom w:val="0"/>
      <w:divBdr>
        <w:top w:val="none" w:sz="0" w:space="0" w:color="auto"/>
        <w:left w:val="none" w:sz="0" w:space="0" w:color="auto"/>
        <w:bottom w:val="none" w:sz="0" w:space="0" w:color="auto"/>
        <w:right w:val="none" w:sz="0" w:space="0" w:color="auto"/>
      </w:divBdr>
    </w:div>
    <w:div w:id="353506112">
      <w:bodyDiv w:val="1"/>
      <w:marLeft w:val="0"/>
      <w:marRight w:val="0"/>
      <w:marTop w:val="0"/>
      <w:marBottom w:val="0"/>
      <w:divBdr>
        <w:top w:val="none" w:sz="0" w:space="0" w:color="auto"/>
        <w:left w:val="none" w:sz="0" w:space="0" w:color="auto"/>
        <w:bottom w:val="none" w:sz="0" w:space="0" w:color="auto"/>
        <w:right w:val="none" w:sz="0" w:space="0" w:color="auto"/>
      </w:divBdr>
    </w:div>
    <w:div w:id="357661603">
      <w:bodyDiv w:val="1"/>
      <w:marLeft w:val="0"/>
      <w:marRight w:val="0"/>
      <w:marTop w:val="0"/>
      <w:marBottom w:val="0"/>
      <w:divBdr>
        <w:top w:val="none" w:sz="0" w:space="0" w:color="auto"/>
        <w:left w:val="none" w:sz="0" w:space="0" w:color="auto"/>
        <w:bottom w:val="none" w:sz="0" w:space="0" w:color="auto"/>
        <w:right w:val="none" w:sz="0" w:space="0" w:color="auto"/>
      </w:divBdr>
    </w:div>
    <w:div w:id="410395297">
      <w:bodyDiv w:val="1"/>
      <w:marLeft w:val="0"/>
      <w:marRight w:val="0"/>
      <w:marTop w:val="0"/>
      <w:marBottom w:val="0"/>
      <w:divBdr>
        <w:top w:val="none" w:sz="0" w:space="0" w:color="auto"/>
        <w:left w:val="none" w:sz="0" w:space="0" w:color="auto"/>
        <w:bottom w:val="none" w:sz="0" w:space="0" w:color="auto"/>
        <w:right w:val="none" w:sz="0" w:space="0" w:color="auto"/>
      </w:divBdr>
    </w:div>
    <w:div w:id="440492896">
      <w:bodyDiv w:val="1"/>
      <w:marLeft w:val="0"/>
      <w:marRight w:val="0"/>
      <w:marTop w:val="0"/>
      <w:marBottom w:val="0"/>
      <w:divBdr>
        <w:top w:val="none" w:sz="0" w:space="0" w:color="auto"/>
        <w:left w:val="none" w:sz="0" w:space="0" w:color="auto"/>
        <w:bottom w:val="none" w:sz="0" w:space="0" w:color="auto"/>
        <w:right w:val="none" w:sz="0" w:space="0" w:color="auto"/>
      </w:divBdr>
    </w:div>
    <w:div w:id="470828134">
      <w:bodyDiv w:val="1"/>
      <w:marLeft w:val="0"/>
      <w:marRight w:val="0"/>
      <w:marTop w:val="0"/>
      <w:marBottom w:val="0"/>
      <w:divBdr>
        <w:top w:val="none" w:sz="0" w:space="0" w:color="auto"/>
        <w:left w:val="none" w:sz="0" w:space="0" w:color="auto"/>
        <w:bottom w:val="none" w:sz="0" w:space="0" w:color="auto"/>
        <w:right w:val="none" w:sz="0" w:space="0" w:color="auto"/>
      </w:divBdr>
    </w:div>
    <w:div w:id="480464002">
      <w:bodyDiv w:val="1"/>
      <w:marLeft w:val="0"/>
      <w:marRight w:val="0"/>
      <w:marTop w:val="0"/>
      <w:marBottom w:val="0"/>
      <w:divBdr>
        <w:top w:val="none" w:sz="0" w:space="0" w:color="auto"/>
        <w:left w:val="none" w:sz="0" w:space="0" w:color="auto"/>
        <w:bottom w:val="none" w:sz="0" w:space="0" w:color="auto"/>
        <w:right w:val="none" w:sz="0" w:space="0" w:color="auto"/>
      </w:divBdr>
    </w:div>
    <w:div w:id="496532464">
      <w:bodyDiv w:val="1"/>
      <w:marLeft w:val="0"/>
      <w:marRight w:val="0"/>
      <w:marTop w:val="0"/>
      <w:marBottom w:val="0"/>
      <w:divBdr>
        <w:top w:val="none" w:sz="0" w:space="0" w:color="auto"/>
        <w:left w:val="none" w:sz="0" w:space="0" w:color="auto"/>
        <w:bottom w:val="none" w:sz="0" w:space="0" w:color="auto"/>
        <w:right w:val="none" w:sz="0" w:space="0" w:color="auto"/>
      </w:divBdr>
    </w:div>
    <w:div w:id="505635167">
      <w:bodyDiv w:val="1"/>
      <w:marLeft w:val="0"/>
      <w:marRight w:val="0"/>
      <w:marTop w:val="0"/>
      <w:marBottom w:val="0"/>
      <w:divBdr>
        <w:top w:val="none" w:sz="0" w:space="0" w:color="auto"/>
        <w:left w:val="none" w:sz="0" w:space="0" w:color="auto"/>
        <w:bottom w:val="none" w:sz="0" w:space="0" w:color="auto"/>
        <w:right w:val="none" w:sz="0" w:space="0" w:color="auto"/>
      </w:divBdr>
    </w:div>
    <w:div w:id="506789909">
      <w:bodyDiv w:val="1"/>
      <w:marLeft w:val="0"/>
      <w:marRight w:val="0"/>
      <w:marTop w:val="0"/>
      <w:marBottom w:val="0"/>
      <w:divBdr>
        <w:top w:val="none" w:sz="0" w:space="0" w:color="auto"/>
        <w:left w:val="none" w:sz="0" w:space="0" w:color="auto"/>
        <w:bottom w:val="none" w:sz="0" w:space="0" w:color="auto"/>
        <w:right w:val="none" w:sz="0" w:space="0" w:color="auto"/>
      </w:divBdr>
    </w:div>
    <w:div w:id="526722528">
      <w:bodyDiv w:val="1"/>
      <w:marLeft w:val="0"/>
      <w:marRight w:val="0"/>
      <w:marTop w:val="0"/>
      <w:marBottom w:val="0"/>
      <w:divBdr>
        <w:top w:val="none" w:sz="0" w:space="0" w:color="auto"/>
        <w:left w:val="none" w:sz="0" w:space="0" w:color="auto"/>
        <w:bottom w:val="none" w:sz="0" w:space="0" w:color="auto"/>
        <w:right w:val="none" w:sz="0" w:space="0" w:color="auto"/>
      </w:divBdr>
    </w:div>
    <w:div w:id="546260429">
      <w:bodyDiv w:val="1"/>
      <w:marLeft w:val="0"/>
      <w:marRight w:val="0"/>
      <w:marTop w:val="0"/>
      <w:marBottom w:val="0"/>
      <w:divBdr>
        <w:top w:val="none" w:sz="0" w:space="0" w:color="auto"/>
        <w:left w:val="none" w:sz="0" w:space="0" w:color="auto"/>
        <w:bottom w:val="none" w:sz="0" w:space="0" w:color="auto"/>
        <w:right w:val="none" w:sz="0" w:space="0" w:color="auto"/>
      </w:divBdr>
    </w:div>
    <w:div w:id="576134585">
      <w:bodyDiv w:val="1"/>
      <w:marLeft w:val="0"/>
      <w:marRight w:val="0"/>
      <w:marTop w:val="0"/>
      <w:marBottom w:val="0"/>
      <w:divBdr>
        <w:top w:val="none" w:sz="0" w:space="0" w:color="auto"/>
        <w:left w:val="none" w:sz="0" w:space="0" w:color="auto"/>
        <w:bottom w:val="none" w:sz="0" w:space="0" w:color="auto"/>
        <w:right w:val="none" w:sz="0" w:space="0" w:color="auto"/>
      </w:divBdr>
    </w:div>
    <w:div w:id="596445269">
      <w:bodyDiv w:val="1"/>
      <w:marLeft w:val="0"/>
      <w:marRight w:val="0"/>
      <w:marTop w:val="0"/>
      <w:marBottom w:val="0"/>
      <w:divBdr>
        <w:top w:val="none" w:sz="0" w:space="0" w:color="auto"/>
        <w:left w:val="none" w:sz="0" w:space="0" w:color="auto"/>
        <w:bottom w:val="none" w:sz="0" w:space="0" w:color="auto"/>
        <w:right w:val="none" w:sz="0" w:space="0" w:color="auto"/>
      </w:divBdr>
    </w:div>
    <w:div w:id="604581575">
      <w:bodyDiv w:val="1"/>
      <w:marLeft w:val="0"/>
      <w:marRight w:val="0"/>
      <w:marTop w:val="0"/>
      <w:marBottom w:val="0"/>
      <w:divBdr>
        <w:top w:val="none" w:sz="0" w:space="0" w:color="auto"/>
        <w:left w:val="none" w:sz="0" w:space="0" w:color="auto"/>
        <w:bottom w:val="none" w:sz="0" w:space="0" w:color="auto"/>
        <w:right w:val="none" w:sz="0" w:space="0" w:color="auto"/>
      </w:divBdr>
    </w:div>
    <w:div w:id="641154061">
      <w:bodyDiv w:val="1"/>
      <w:marLeft w:val="0"/>
      <w:marRight w:val="0"/>
      <w:marTop w:val="0"/>
      <w:marBottom w:val="0"/>
      <w:divBdr>
        <w:top w:val="none" w:sz="0" w:space="0" w:color="auto"/>
        <w:left w:val="none" w:sz="0" w:space="0" w:color="auto"/>
        <w:bottom w:val="none" w:sz="0" w:space="0" w:color="auto"/>
        <w:right w:val="none" w:sz="0" w:space="0" w:color="auto"/>
      </w:divBdr>
    </w:div>
    <w:div w:id="651788207">
      <w:bodyDiv w:val="1"/>
      <w:marLeft w:val="0"/>
      <w:marRight w:val="0"/>
      <w:marTop w:val="0"/>
      <w:marBottom w:val="0"/>
      <w:divBdr>
        <w:top w:val="none" w:sz="0" w:space="0" w:color="auto"/>
        <w:left w:val="none" w:sz="0" w:space="0" w:color="auto"/>
        <w:bottom w:val="none" w:sz="0" w:space="0" w:color="auto"/>
        <w:right w:val="none" w:sz="0" w:space="0" w:color="auto"/>
      </w:divBdr>
    </w:div>
    <w:div w:id="686950297">
      <w:bodyDiv w:val="1"/>
      <w:marLeft w:val="0"/>
      <w:marRight w:val="0"/>
      <w:marTop w:val="0"/>
      <w:marBottom w:val="0"/>
      <w:divBdr>
        <w:top w:val="none" w:sz="0" w:space="0" w:color="auto"/>
        <w:left w:val="none" w:sz="0" w:space="0" w:color="auto"/>
        <w:bottom w:val="none" w:sz="0" w:space="0" w:color="auto"/>
        <w:right w:val="none" w:sz="0" w:space="0" w:color="auto"/>
      </w:divBdr>
    </w:div>
    <w:div w:id="716705382">
      <w:bodyDiv w:val="1"/>
      <w:marLeft w:val="0"/>
      <w:marRight w:val="0"/>
      <w:marTop w:val="0"/>
      <w:marBottom w:val="0"/>
      <w:divBdr>
        <w:top w:val="none" w:sz="0" w:space="0" w:color="auto"/>
        <w:left w:val="none" w:sz="0" w:space="0" w:color="auto"/>
        <w:bottom w:val="none" w:sz="0" w:space="0" w:color="auto"/>
        <w:right w:val="none" w:sz="0" w:space="0" w:color="auto"/>
      </w:divBdr>
    </w:div>
    <w:div w:id="719551592">
      <w:bodyDiv w:val="1"/>
      <w:marLeft w:val="0"/>
      <w:marRight w:val="0"/>
      <w:marTop w:val="0"/>
      <w:marBottom w:val="0"/>
      <w:divBdr>
        <w:top w:val="none" w:sz="0" w:space="0" w:color="auto"/>
        <w:left w:val="none" w:sz="0" w:space="0" w:color="auto"/>
        <w:bottom w:val="none" w:sz="0" w:space="0" w:color="auto"/>
        <w:right w:val="none" w:sz="0" w:space="0" w:color="auto"/>
      </w:divBdr>
    </w:div>
    <w:div w:id="768159267">
      <w:bodyDiv w:val="1"/>
      <w:marLeft w:val="0"/>
      <w:marRight w:val="0"/>
      <w:marTop w:val="0"/>
      <w:marBottom w:val="0"/>
      <w:divBdr>
        <w:top w:val="none" w:sz="0" w:space="0" w:color="auto"/>
        <w:left w:val="none" w:sz="0" w:space="0" w:color="auto"/>
        <w:bottom w:val="none" w:sz="0" w:space="0" w:color="auto"/>
        <w:right w:val="none" w:sz="0" w:space="0" w:color="auto"/>
      </w:divBdr>
    </w:div>
    <w:div w:id="775758363">
      <w:bodyDiv w:val="1"/>
      <w:marLeft w:val="0"/>
      <w:marRight w:val="0"/>
      <w:marTop w:val="0"/>
      <w:marBottom w:val="0"/>
      <w:divBdr>
        <w:top w:val="none" w:sz="0" w:space="0" w:color="auto"/>
        <w:left w:val="none" w:sz="0" w:space="0" w:color="auto"/>
        <w:bottom w:val="none" w:sz="0" w:space="0" w:color="auto"/>
        <w:right w:val="none" w:sz="0" w:space="0" w:color="auto"/>
      </w:divBdr>
    </w:div>
    <w:div w:id="775835043">
      <w:bodyDiv w:val="1"/>
      <w:marLeft w:val="0"/>
      <w:marRight w:val="0"/>
      <w:marTop w:val="0"/>
      <w:marBottom w:val="0"/>
      <w:divBdr>
        <w:top w:val="none" w:sz="0" w:space="0" w:color="auto"/>
        <w:left w:val="none" w:sz="0" w:space="0" w:color="auto"/>
        <w:bottom w:val="none" w:sz="0" w:space="0" w:color="auto"/>
        <w:right w:val="none" w:sz="0" w:space="0" w:color="auto"/>
      </w:divBdr>
    </w:div>
    <w:div w:id="812259928">
      <w:bodyDiv w:val="1"/>
      <w:marLeft w:val="0"/>
      <w:marRight w:val="0"/>
      <w:marTop w:val="0"/>
      <w:marBottom w:val="0"/>
      <w:divBdr>
        <w:top w:val="none" w:sz="0" w:space="0" w:color="auto"/>
        <w:left w:val="none" w:sz="0" w:space="0" w:color="auto"/>
        <w:bottom w:val="none" w:sz="0" w:space="0" w:color="auto"/>
        <w:right w:val="none" w:sz="0" w:space="0" w:color="auto"/>
      </w:divBdr>
    </w:div>
    <w:div w:id="836308796">
      <w:bodyDiv w:val="1"/>
      <w:marLeft w:val="0"/>
      <w:marRight w:val="0"/>
      <w:marTop w:val="0"/>
      <w:marBottom w:val="0"/>
      <w:divBdr>
        <w:top w:val="none" w:sz="0" w:space="0" w:color="auto"/>
        <w:left w:val="none" w:sz="0" w:space="0" w:color="auto"/>
        <w:bottom w:val="none" w:sz="0" w:space="0" w:color="auto"/>
        <w:right w:val="none" w:sz="0" w:space="0" w:color="auto"/>
      </w:divBdr>
    </w:div>
    <w:div w:id="845486405">
      <w:bodyDiv w:val="1"/>
      <w:marLeft w:val="0"/>
      <w:marRight w:val="0"/>
      <w:marTop w:val="0"/>
      <w:marBottom w:val="0"/>
      <w:divBdr>
        <w:top w:val="none" w:sz="0" w:space="0" w:color="auto"/>
        <w:left w:val="none" w:sz="0" w:space="0" w:color="auto"/>
        <w:bottom w:val="none" w:sz="0" w:space="0" w:color="auto"/>
        <w:right w:val="none" w:sz="0" w:space="0" w:color="auto"/>
      </w:divBdr>
    </w:div>
    <w:div w:id="850342537">
      <w:bodyDiv w:val="1"/>
      <w:marLeft w:val="0"/>
      <w:marRight w:val="0"/>
      <w:marTop w:val="0"/>
      <w:marBottom w:val="0"/>
      <w:divBdr>
        <w:top w:val="none" w:sz="0" w:space="0" w:color="auto"/>
        <w:left w:val="none" w:sz="0" w:space="0" w:color="auto"/>
        <w:bottom w:val="none" w:sz="0" w:space="0" w:color="auto"/>
        <w:right w:val="none" w:sz="0" w:space="0" w:color="auto"/>
      </w:divBdr>
    </w:div>
    <w:div w:id="893154804">
      <w:bodyDiv w:val="1"/>
      <w:marLeft w:val="0"/>
      <w:marRight w:val="0"/>
      <w:marTop w:val="0"/>
      <w:marBottom w:val="0"/>
      <w:divBdr>
        <w:top w:val="none" w:sz="0" w:space="0" w:color="auto"/>
        <w:left w:val="none" w:sz="0" w:space="0" w:color="auto"/>
        <w:bottom w:val="none" w:sz="0" w:space="0" w:color="auto"/>
        <w:right w:val="none" w:sz="0" w:space="0" w:color="auto"/>
      </w:divBdr>
    </w:div>
    <w:div w:id="901251177">
      <w:bodyDiv w:val="1"/>
      <w:marLeft w:val="0"/>
      <w:marRight w:val="0"/>
      <w:marTop w:val="0"/>
      <w:marBottom w:val="0"/>
      <w:divBdr>
        <w:top w:val="none" w:sz="0" w:space="0" w:color="auto"/>
        <w:left w:val="none" w:sz="0" w:space="0" w:color="auto"/>
        <w:bottom w:val="none" w:sz="0" w:space="0" w:color="auto"/>
        <w:right w:val="none" w:sz="0" w:space="0" w:color="auto"/>
      </w:divBdr>
    </w:div>
    <w:div w:id="937711592">
      <w:bodyDiv w:val="1"/>
      <w:marLeft w:val="0"/>
      <w:marRight w:val="0"/>
      <w:marTop w:val="0"/>
      <w:marBottom w:val="0"/>
      <w:divBdr>
        <w:top w:val="none" w:sz="0" w:space="0" w:color="auto"/>
        <w:left w:val="none" w:sz="0" w:space="0" w:color="auto"/>
        <w:bottom w:val="none" w:sz="0" w:space="0" w:color="auto"/>
        <w:right w:val="none" w:sz="0" w:space="0" w:color="auto"/>
      </w:divBdr>
    </w:div>
    <w:div w:id="960039579">
      <w:bodyDiv w:val="1"/>
      <w:marLeft w:val="0"/>
      <w:marRight w:val="0"/>
      <w:marTop w:val="0"/>
      <w:marBottom w:val="0"/>
      <w:divBdr>
        <w:top w:val="none" w:sz="0" w:space="0" w:color="auto"/>
        <w:left w:val="none" w:sz="0" w:space="0" w:color="auto"/>
        <w:bottom w:val="none" w:sz="0" w:space="0" w:color="auto"/>
        <w:right w:val="none" w:sz="0" w:space="0" w:color="auto"/>
      </w:divBdr>
    </w:div>
    <w:div w:id="990794495">
      <w:bodyDiv w:val="1"/>
      <w:marLeft w:val="0"/>
      <w:marRight w:val="0"/>
      <w:marTop w:val="0"/>
      <w:marBottom w:val="0"/>
      <w:divBdr>
        <w:top w:val="none" w:sz="0" w:space="0" w:color="auto"/>
        <w:left w:val="none" w:sz="0" w:space="0" w:color="auto"/>
        <w:bottom w:val="none" w:sz="0" w:space="0" w:color="auto"/>
        <w:right w:val="none" w:sz="0" w:space="0" w:color="auto"/>
      </w:divBdr>
    </w:div>
    <w:div w:id="1000737428">
      <w:bodyDiv w:val="1"/>
      <w:marLeft w:val="0"/>
      <w:marRight w:val="0"/>
      <w:marTop w:val="0"/>
      <w:marBottom w:val="0"/>
      <w:divBdr>
        <w:top w:val="none" w:sz="0" w:space="0" w:color="auto"/>
        <w:left w:val="none" w:sz="0" w:space="0" w:color="auto"/>
        <w:bottom w:val="none" w:sz="0" w:space="0" w:color="auto"/>
        <w:right w:val="none" w:sz="0" w:space="0" w:color="auto"/>
      </w:divBdr>
    </w:div>
    <w:div w:id="1011302341">
      <w:bodyDiv w:val="1"/>
      <w:marLeft w:val="0"/>
      <w:marRight w:val="0"/>
      <w:marTop w:val="0"/>
      <w:marBottom w:val="0"/>
      <w:divBdr>
        <w:top w:val="none" w:sz="0" w:space="0" w:color="auto"/>
        <w:left w:val="none" w:sz="0" w:space="0" w:color="auto"/>
        <w:bottom w:val="none" w:sz="0" w:space="0" w:color="auto"/>
        <w:right w:val="none" w:sz="0" w:space="0" w:color="auto"/>
      </w:divBdr>
    </w:div>
    <w:div w:id="1037196896">
      <w:bodyDiv w:val="1"/>
      <w:marLeft w:val="0"/>
      <w:marRight w:val="0"/>
      <w:marTop w:val="0"/>
      <w:marBottom w:val="0"/>
      <w:divBdr>
        <w:top w:val="none" w:sz="0" w:space="0" w:color="auto"/>
        <w:left w:val="none" w:sz="0" w:space="0" w:color="auto"/>
        <w:bottom w:val="none" w:sz="0" w:space="0" w:color="auto"/>
        <w:right w:val="none" w:sz="0" w:space="0" w:color="auto"/>
      </w:divBdr>
    </w:div>
    <w:div w:id="1043209617">
      <w:bodyDiv w:val="1"/>
      <w:marLeft w:val="0"/>
      <w:marRight w:val="0"/>
      <w:marTop w:val="0"/>
      <w:marBottom w:val="0"/>
      <w:divBdr>
        <w:top w:val="none" w:sz="0" w:space="0" w:color="auto"/>
        <w:left w:val="none" w:sz="0" w:space="0" w:color="auto"/>
        <w:bottom w:val="none" w:sz="0" w:space="0" w:color="auto"/>
        <w:right w:val="none" w:sz="0" w:space="0" w:color="auto"/>
      </w:divBdr>
    </w:div>
    <w:div w:id="1095320843">
      <w:bodyDiv w:val="1"/>
      <w:marLeft w:val="0"/>
      <w:marRight w:val="0"/>
      <w:marTop w:val="0"/>
      <w:marBottom w:val="0"/>
      <w:divBdr>
        <w:top w:val="none" w:sz="0" w:space="0" w:color="auto"/>
        <w:left w:val="none" w:sz="0" w:space="0" w:color="auto"/>
        <w:bottom w:val="none" w:sz="0" w:space="0" w:color="auto"/>
        <w:right w:val="none" w:sz="0" w:space="0" w:color="auto"/>
      </w:divBdr>
    </w:div>
    <w:div w:id="1115445023">
      <w:bodyDiv w:val="1"/>
      <w:marLeft w:val="0"/>
      <w:marRight w:val="0"/>
      <w:marTop w:val="0"/>
      <w:marBottom w:val="0"/>
      <w:divBdr>
        <w:top w:val="none" w:sz="0" w:space="0" w:color="auto"/>
        <w:left w:val="none" w:sz="0" w:space="0" w:color="auto"/>
        <w:bottom w:val="none" w:sz="0" w:space="0" w:color="auto"/>
        <w:right w:val="none" w:sz="0" w:space="0" w:color="auto"/>
      </w:divBdr>
    </w:div>
    <w:div w:id="1154033411">
      <w:bodyDiv w:val="1"/>
      <w:marLeft w:val="0"/>
      <w:marRight w:val="0"/>
      <w:marTop w:val="0"/>
      <w:marBottom w:val="0"/>
      <w:divBdr>
        <w:top w:val="none" w:sz="0" w:space="0" w:color="auto"/>
        <w:left w:val="none" w:sz="0" w:space="0" w:color="auto"/>
        <w:bottom w:val="none" w:sz="0" w:space="0" w:color="auto"/>
        <w:right w:val="none" w:sz="0" w:space="0" w:color="auto"/>
      </w:divBdr>
    </w:div>
    <w:div w:id="1185905074">
      <w:bodyDiv w:val="1"/>
      <w:marLeft w:val="0"/>
      <w:marRight w:val="0"/>
      <w:marTop w:val="0"/>
      <w:marBottom w:val="0"/>
      <w:divBdr>
        <w:top w:val="none" w:sz="0" w:space="0" w:color="auto"/>
        <w:left w:val="none" w:sz="0" w:space="0" w:color="auto"/>
        <w:bottom w:val="none" w:sz="0" w:space="0" w:color="auto"/>
        <w:right w:val="none" w:sz="0" w:space="0" w:color="auto"/>
      </w:divBdr>
    </w:div>
    <w:div w:id="1198087235">
      <w:bodyDiv w:val="1"/>
      <w:marLeft w:val="0"/>
      <w:marRight w:val="0"/>
      <w:marTop w:val="0"/>
      <w:marBottom w:val="0"/>
      <w:divBdr>
        <w:top w:val="none" w:sz="0" w:space="0" w:color="auto"/>
        <w:left w:val="none" w:sz="0" w:space="0" w:color="auto"/>
        <w:bottom w:val="none" w:sz="0" w:space="0" w:color="auto"/>
        <w:right w:val="none" w:sz="0" w:space="0" w:color="auto"/>
      </w:divBdr>
    </w:div>
    <w:div w:id="1207252199">
      <w:bodyDiv w:val="1"/>
      <w:marLeft w:val="0"/>
      <w:marRight w:val="0"/>
      <w:marTop w:val="0"/>
      <w:marBottom w:val="0"/>
      <w:divBdr>
        <w:top w:val="none" w:sz="0" w:space="0" w:color="auto"/>
        <w:left w:val="none" w:sz="0" w:space="0" w:color="auto"/>
        <w:bottom w:val="none" w:sz="0" w:space="0" w:color="auto"/>
        <w:right w:val="none" w:sz="0" w:space="0" w:color="auto"/>
      </w:divBdr>
    </w:div>
    <w:div w:id="1234967197">
      <w:bodyDiv w:val="1"/>
      <w:marLeft w:val="0"/>
      <w:marRight w:val="0"/>
      <w:marTop w:val="0"/>
      <w:marBottom w:val="0"/>
      <w:divBdr>
        <w:top w:val="none" w:sz="0" w:space="0" w:color="auto"/>
        <w:left w:val="none" w:sz="0" w:space="0" w:color="auto"/>
        <w:bottom w:val="none" w:sz="0" w:space="0" w:color="auto"/>
        <w:right w:val="none" w:sz="0" w:space="0" w:color="auto"/>
      </w:divBdr>
    </w:div>
    <w:div w:id="1265074049">
      <w:bodyDiv w:val="1"/>
      <w:marLeft w:val="0"/>
      <w:marRight w:val="0"/>
      <w:marTop w:val="0"/>
      <w:marBottom w:val="0"/>
      <w:divBdr>
        <w:top w:val="none" w:sz="0" w:space="0" w:color="auto"/>
        <w:left w:val="none" w:sz="0" w:space="0" w:color="auto"/>
        <w:bottom w:val="none" w:sz="0" w:space="0" w:color="auto"/>
        <w:right w:val="none" w:sz="0" w:space="0" w:color="auto"/>
      </w:divBdr>
    </w:div>
    <w:div w:id="1282154651">
      <w:bodyDiv w:val="1"/>
      <w:marLeft w:val="0"/>
      <w:marRight w:val="0"/>
      <w:marTop w:val="0"/>
      <w:marBottom w:val="0"/>
      <w:divBdr>
        <w:top w:val="none" w:sz="0" w:space="0" w:color="auto"/>
        <w:left w:val="none" w:sz="0" w:space="0" w:color="auto"/>
        <w:bottom w:val="none" w:sz="0" w:space="0" w:color="auto"/>
        <w:right w:val="none" w:sz="0" w:space="0" w:color="auto"/>
      </w:divBdr>
    </w:div>
    <w:div w:id="1294480727">
      <w:bodyDiv w:val="1"/>
      <w:marLeft w:val="0"/>
      <w:marRight w:val="0"/>
      <w:marTop w:val="0"/>
      <w:marBottom w:val="0"/>
      <w:divBdr>
        <w:top w:val="none" w:sz="0" w:space="0" w:color="auto"/>
        <w:left w:val="none" w:sz="0" w:space="0" w:color="auto"/>
        <w:bottom w:val="none" w:sz="0" w:space="0" w:color="auto"/>
        <w:right w:val="none" w:sz="0" w:space="0" w:color="auto"/>
      </w:divBdr>
    </w:div>
    <w:div w:id="1296526062">
      <w:bodyDiv w:val="1"/>
      <w:marLeft w:val="0"/>
      <w:marRight w:val="0"/>
      <w:marTop w:val="0"/>
      <w:marBottom w:val="0"/>
      <w:divBdr>
        <w:top w:val="none" w:sz="0" w:space="0" w:color="auto"/>
        <w:left w:val="none" w:sz="0" w:space="0" w:color="auto"/>
        <w:bottom w:val="none" w:sz="0" w:space="0" w:color="auto"/>
        <w:right w:val="none" w:sz="0" w:space="0" w:color="auto"/>
      </w:divBdr>
    </w:div>
    <w:div w:id="1389257293">
      <w:bodyDiv w:val="1"/>
      <w:marLeft w:val="0"/>
      <w:marRight w:val="0"/>
      <w:marTop w:val="0"/>
      <w:marBottom w:val="0"/>
      <w:divBdr>
        <w:top w:val="none" w:sz="0" w:space="0" w:color="auto"/>
        <w:left w:val="none" w:sz="0" w:space="0" w:color="auto"/>
        <w:bottom w:val="none" w:sz="0" w:space="0" w:color="auto"/>
        <w:right w:val="none" w:sz="0" w:space="0" w:color="auto"/>
      </w:divBdr>
    </w:div>
    <w:div w:id="1392968968">
      <w:bodyDiv w:val="1"/>
      <w:marLeft w:val="0"/>
      <w:marRight w:val="0"/>
      <w:marTop w:val="0"/>
      <w:marBottom w:val="0"/>
      <w:divBdr>
        <w:top w:val="none" w:sz="0" w:space="0" w:color="auto"/>
        <w:left w:val="none" w:sz="0" w:space="0" w:color="auto"/>
        <w:bottom w:val="none" w:sz="0" w:space="0" w:color="auto"/>
        <w:right w:val="none" w:sz="0" w:space="0" w:color="auto"/>
      </w:divBdr>
    </w:div>
    <w:div w:id="1397703627">
      <w:bodyDiv w:val="1"/>
      <w:marLeft w:val="0"/>
      <w:marRight w:val="0"/>
      <w:marTop w:val="0"/>
      <w:marBottom w:val="0"/>
      <w:divBdr>
        <w:top w:val="none" w:sz="0" w:space="0" w:color="auto"/>
        <w:left w:val="none" w:sz="0" w:space="0" w:color="auto"/>
        <w:bottom w:val="none" w:sz="0" w:space="0" w:color="auto"/>
        <w:right w:val="none" w:sz="0" w:space="0" w:color="auto"/>
      </w:divBdr>
    </w:div>
    <w:div w:id="1404990067">
      <w:bodyDiv w:val="1"/>
      <w:marLeft w:val="0"/>
      <w:marRight w:val="0"/>
      <w:marTop w:val="0"/>
      <w:marBottom w:val="0"/>
      <w:divBdr>
        <w:top w:val="none" w:sz="0" w:space="0" w:color="auto"/>
        <w:left w:val="none" w:sz="0" w:space="0" w:color="auto"/>
        <w:bottom w:val="none" w:sz="0" w:space="0" w:color="auto"/>
        <w:right w:val="none" w:sz="0" w:space="0" w:color="auto"/>
      </w:divBdr>
    </w:div>
    <w:div w:id="1429694291">
      <w:bodyDiv w:val="1"/>
      <w:marLeft w:val="0"/>
      <w:marRight w:val="0"/>
      <w:marTop w:val="0"/>
      <w:marBottom w:val="0"/>
      <w:divBdr>
        <w:top w:val="none" w:sz="0" w:space="0" w:color="auto"/>
        <w:left w:val="none" w:sz="0" w:space="0" w:color="auto"/>
        <w:bottom w:val="none" w:sz="0" w:space="0" w:color="auto"/>
        <w:right w:val="none" w:sz="0" w:space="0" w:color="auto"/>
      </w:divBdr>
    </w:div>
    <w:div w:id="1430420429">
      <w:bodyDiv w:val="1"/>
      <w:marLeft w:val="0"/>
      <w:marRight w:val="0"/>
      <w:marTop w:val="0"/>
      <w:marBottom w:val="0"/>
      <w:divBdr>
        <w:top w:val="none" w:sz="0" w:space="0" w:color="auto"/>
        <w:left w:val="none" w:sz="0" w:space="0" w:color="auto"/>
        <w:bottom w:val="none" w:sz="0" w:space="0" w:color="auto"/>
        <w:right w:val="none" w:sz="0" w:space="0" w:color="auto"/>
      </w:divBdr>
    </w:div>
    <w:div w:id="1461341093">
      <w:bodyDiv w:val="1"/>
      <w:marLeft w:val="0"/>
      <w:marRight w:val="0"/>
      <w:marTop w:val="0"/>
      <w:marBottom w:val="0"/>
      <w:divBdr>
        <w:top w:val="none" w:sz="0" w:space="0" w:color="auto"/>
        <w:left w:val="none" w:sz="0" w:space="0" w:color="auto"/>
        <w:bottom w:val="none" w:sz="0" w:space="0" w:color="auto"/>
        <w:right w:val="none" w:sz="0" w:space="0" w:color="auto"/>
      </w:divBdr>
    </w:div>
    <w:div w:id="1468546754">
      <w:bodyDiv w:val="1"/>
      <w:marLeft w:val="0"/>
      <w:marRight w:val="0"/>
      <w:marTop w:val="0"/>
      <w:marBottom w:val="0"/>
      <w:divBdr>
        <w:top w:val="none" w:sz="0" w:space="0" w:color="auto"/>
        <w:left w:val="none" w:sz="0" w:space="0" w:color="auto"/>
        <w:bottom w:val="none" w:sz="0" w:space="0" w:color="auto"/>
        <w:right w:val="none" w:sz="0" w:space="0" w:color="auto"/>
      </w:divBdr>
    </w:div>
    <w:div w:id="1493332429">
      <w:bodyDiv w:val="1"/>
      <w:marLeft w:val="0"/>
      <w:marRight w:val="0"/>
      <w:marTop w:val="0"/>
      <w:marBottom w:val="0"/>
      <w:divBdr>
        <w:top w:val="none" w:sz="0" w:space="0" w:color="auto"/>
        <w:left w:val="none" w:sz="0" w:space="0" w:color="auto"/>
        <w:bottom w:val="none" w:sz="0" w:space="0" w:color="auto"/>
        <w:right w:val="none" w:sz="0" w:space="0" w:color="auto"/>
      </w:divBdr>
    </w:div>
    <w:div w:id="1507793962">
      <w:bodyDiv w:val="1"/>
      <w:marLeft w:val="0"/>
      <w:marRight w:val="0"/>
      <w:marTop w:val="0"/>
      <w:marBottom w:val="0"/>
      <w:divBdr>
        <w:top w:val="none" w:sz="0" w:space="0" w:color="auto"/>
        <w:left w:val="none" w:sz="0" w:space="0" w:color="auto"/>
        <w:bottom w:val="none" w:sz="0" w:space="0" w:color="auto"/>
        <w:right w:val="none" w:sz="0" w:space="0" w:color="auto"/>
      </w:divBdr>
    </w:div>
    <w:div w:id="1594124303">
      <w:bodyDiv w:val="1"/>
      <w:marLeft w:val="0"/>
      <w:marRight w:val="0"/>
      <w:marTop w:val="0"/>
      <w:marBottom w:val="0"/>
      <w:divBdr>
        <w:top w:val="none" w:sz="0" w:space="0" w:color="auto"/>
        <w:left w:val="none" w:sz="0" w:space="0" w:color="auto"/>
        <w:bottom w:val="none" w:sz="0" w:space="0" w:color="auto"/>
        <w:right w:val="none" w:sz="0" w:space="0" w:color="auto"/>
      </w:divBdr>
    </w:div>
    <w:div w:id="1611013285">
      <w:bodyDiv w:val="1"/>
      <w:marLeft w:val="0"/>
      <w:marRight w:val="0"/>
      <w:marTop w:val="0"/>
      <w:marBottom w:val="0"/>
      <w:divBdr>
        <w:top w:val="none" w:sz="0" w:space="0" w:color="auto"/>
        <w:left w:val="none" w:sz="0" w:space="0" w:color="auto"/>
        <w:bottom w:val="none" w:sz="0" w:space="0" w:color="auto"/>
        <w:right w:val="none" w:sz="0" w:space="0" w:color="auto"/>
      </w:divBdr>
    </w:div>
    <w:div w:id="1615209440">
      <w:bodyDiv w:val="1"/>
      <w:marLeft w:val="0"/>
      <w:marRight w:val="0"/>
      <w:marTop w:val="0"/>
      <w:marBottom w:val="0"/>
      <w:divBdr>
        <w:top w:val="none" w:sz="0" w:space="0" w:color="auto"/>
        <w:left w:val="none" w:sz="0" w:space="0" w:color="auto"/>
        <w:bottom w:val="none" w:sz="0" w:space="0" w:color="auto"/>
        <w:right w:val="none" w:sz="0" w:space="0" w:color="auto"/>
      </w:divBdr>
    </w:div>
    <w:div w:id="1639795843">
      <w:bodyDiv w:val="1"/>
      <w:marLeft w:val="0"/>
      <w:marRight w:val="0"/>
      <w:marTop w:val="0"/>
      <w:marBottom w:val="0"/>
      <w:divBdr>
        <w:top w:val="none" w:sz="0" w:space="0" w:color="auto"/>
        <w:left w:val="none" w:sz="0" w:space="0" w:color="auto"/>
        <w:bottom w:val="none" w:sz="0" w:space="0" w:color="auto"/>
        <w:right w:val="none" w:sz="0" w:space="0" w:color="auto"/>
      </w:divBdr>
    </w:div>
    <w:div w:id="1645811258">
      <w:bodyDiv w:val="1"/>
      <w:marLeft w:val="0"/>
      <w:marRight w:val="0"/>
      <w:marTop w:val="0"/>
      <w:marBottom w:val="0"/>
      <w:divBdr>
        <w:top w:val="none" w:sz="0" w:space="0" w:color="auto"/>
        <w:left w:val="none" w:sz="0" w:space="0" w:color="auto"/>
        <w:bottom w:val="none" w:sz="0" w:space="0" w:color="auto"/>
        <w:right w:val="none" w:sz="0" w:space="0" w:color="auto"/>
      </w:divBdr>
    </w:div>
    <w:div w:id="1651712236">
      <w:bodyDiv w:val="1"/>
      <w:marLeft w:val="0"/>
      <w:marRight w:val="0"/>
      <w:marTop w:val="0"/>
      <w:marBottom w:val="0"/>
      <w:divBdr>
        <w:top w:val="none" w:sz="0" w:space="0" w:color="auto"/>
        <w:left w:val="none" w:sz="0" w:space="0" w:color="auto"/>
        <w:bottom w:val="none" w:sz="0" w:space="0" w:color="auto"/>
        <w:right w:val="none" w:sz="0" w:space="0" w:color="auto"/>
      </w:divBdr>
    </w:div>
    <w:div w:id="1674604773">
      <w:bodyDiv w:val="1"/>
      <w:marLeft w:val="0"/>
      <w:marRight w:val="0"/>
      <w:marTop w:val="0"/>
      <w:marBottom w:val="0"/>
      <w:divBdr>
        <w:top w:val="none" w:sz="0" w:space="0" w:color="auto"/>
        <w:left w:val="none" w:sz="0" w:space="0" w:color="auto"/>
        <w:bottom w:val="none" w:sz="0" w:space="0" w:color="auto"/>
        <w:right w:val="none" w:sz="0" w:space="0" w:color="auto"/>
      </w:divBdr>
    </w:div>
    <w:div w:id="1694334174">
      <w:bodyDiv w:val="1"/>
      <w:marLeft w:val="0"/>
      <w:marRight w:val="0"/>
      <w:marTop w:val="0"/>
      <w:marBottom w:val="0"/>
      <w:divBdr>
        <w:top w:val="none" w:sz="0" w:space="0" w:color="auto"/>
        <w:left w:val="none" w:sz="0" w:space="0" w:color="auto"/>
        <w:bottom w:val="none" w:sz="0" w:space="0" w:color="auto"/>
        <w:right w:val="none" w:sz="0" w:space="0" w:color="auto"/>
      </w:divBdr>
    </w:div>
    <w:div w:id="1702977027">
      <w:bodyDiv w:val="1"/>
      <w:marLeft w:val="0"/>
      <w:marRight w:val="0"/>
      <w:marTop w:val="0"/>
      <w:marBottom w:val="0"/>
      <w:divBdr>
        <w:top w:val="none" w:sz="0" w:space="0" w:color="auto"/>
        <w:left w:val="none" w:sz="0" w:space="0" w:color="auto"/>
        <w:bottom w:val="none" w:sz="0" w:space="0" w:color="auto"/>
        <w:right w:val="none" w:sz="0" w:space="0" w:color="auto"/>
      </w:divBdr>
    </w:div>
    <w:div w:id="1714771540">
      <w:bodyDiv w:val="1"/>
      <w:marLeft w:val="0"/>
      <w:marRight w:val="0"/>
      <w:marTop w:val="0"/>
      <w:marBottom w:val="0"/>
      <w:divBdr>
        <w:top w:val="none" w:sz="0" w:space="0" w:color="auto"/>
        <w:left w:val="none" w:sz="0" w:space="0" w:color="auto"/>
        <w:bottom w:val="none" w:sz="0" w:space="0" w:color="auto"/>
        <w:right w:val="none" w:sz="0" w:space="0" w:color="auto"/>
      </w:divBdr>
    </w:div>
    <w:div w:id="1717970674">
      <w:bodyDiv w:val="1"/>
      <w:marLeft w:val="0"/>
      <w:marRight w:val="0"/>
      <w:marTop w:val="0"/>
      <w:marBottom w:val="0"/>
      <w:divBdr>
        <w:top w:val="none" w:sz="0" w:space="0" w:color="auto"/>
        <w:left w:val="none" w:sz="0" w:space="0" w:color="auto"/>
        <w:bottom w:val="none" w:sz="0" w:space="0" w:color="auto"/>
        <w:right w:val="none" w:sz="0" w:space="0" w:color="auto"/>
      </w:divBdr>
    </w:div>
    <w:div w:id="1718627999">
      <w:bodyDiv w:val="1"/>
      <w:marLeft w:val="0"/>
      <w:marRight w:val="0"/>
      <w:marTop w:val="0"/>
      <w:marBottom w:val="0"/>
      <w:divBdr>
        <w:top w:val="none" w:sz="0" w:space="0" w:color="auto"/>
        <w:left w:val="none" w:sz="0" w:space="0" w:color="auto"/>
        <w:bottom w:val="none" w:sz="0" w:space="0" w:color="auto"/>
        <w:right w:val="none" w:sz="0" w:space="0" w:color="auto"/>
      </w:divBdr>
    </w:div>
    <w:div w:id="1760364207">
      <w:bodyDiv w:val="1"/>
      <w:marLeft w:val="0"/>
      <w:marRight w:val="0"/>
      <w:marTop w:val="0"/>
      <w:marBottom w:val="0"/>
      <w:divBdr>
        <w:top w:val="none" w:sz="0" w:space="0" w:color="auto"/>
        <w:left w:val="none" w:sz="0" w:space="0" w:color="auto"/>
        <w:bottom w:val="none" w:sz="0" w:space="0" w:color="auto"/>
        <w:right w:val="none" w:sz="0" w:space="0" w:color="auto"/>
      </w:divBdr>
    </w:div>
    <w:div w:id="1788500207">
      <w:bodyDiv w:val="1"/>
      <w:marLeft w:val="0"/>
      <w:marRight w:val="0"/>
      <w:marTop w:val="0"/>
      <w:marBottom w:val="0"/>
      <w:divBdr>
        <w:top w:val="none" w:sz="0" w:space="0" w:color="auto"/>
        <w:left w:val="none" w:sz="0" w:space="0" w:color="auto"/>
        <w:bottom w:val="none" w:sz="0" w:space="0" w:color="auto"/>
        <w:right w:val="none" w:sz="0" w:space="0" w:color="auto"/>
      </w:divBdr>
    </w:div>
    <w:div w:id="1791583748">
      <w:bodyDiv w:val="1"/>
      <w:marLeft w:val="0"/>
      <w:marRight w:val="0"/>
      <w:marTop w:val="0"/>
      <w:marBottom w:val="0"/>
      <w:divBdr>
        <w:top w:val="none" w:sz="0" w:space="0" w:color="auto"/>
        <w:left w:val="none" w:sz="0" w:space="0" w:color="auto"/>
        <w:bottom w:val="none" w:sz="0" w:space="0" w:color="auto"/>
        <w:right w:val="none" w:sz="0" w:space="0" w:color="auto"/>
      </w:divBdr>
    </w:div>
    <w:div w:id="1820268103">
      <w:bodyDiv w:val="1"/>
      <w:marLeft w:val="0"/>
      <w:marRight w:val="0"/>
      <w:marTop w:val="0"/>
      <w:marBottom w:val="0"/>
      <w:divBdr>
        <w:top w:val="none" w:sz="0" w:space="0" w:color="auto"/>
        <w:left w:val="none" w:sz="0" w:space="0" w:color="auto"/>
        <w:bottom w:val="none" w:sz="0" w:space="0" w:color="auto"/>
        <w:right w:val="none" w:sz="0" w:space="0" w:color="auto"/>
      </w:divBdr>
    </w:div>
    <w:div w:id="1870605754">
      <w:bodyDiv w:val="1"/>
      <w:marLeft w:val="0"/>
      <w:marRight w:val="0"/>
      <w:marTop w:val="0"/>
      <w:marBottom w:val="0"/>
      <w:divBdr>
        <w:top w:val="none" w:sz="0" w:space="0" w:color="auto"/>
        <w:left w:val="none" w:sz="0" w:space="0" w:color="auto"/>
        <w:bottom w:val="none" w:sz="0" w:space="0" w:color="auto"/>
        <w:right w:val="none" w:sz="0" w:space="0" w:color="auto"/>
      </w:divBdr>
    </w:div>
    <w:div w:id="1871601511">
      <w:bodyDiv w:val="1"/>
      <w:marLeft w:val="0"/>
      <w:marRight w:val="0"/>
      <w:marTop w:val="0"/>
      <w:marBottom w:val="0"/>
      <w:divBdr>
        <w:top w:val="none" w:sz="0" w:space="0" w:color="auto"/>
        <w:left w:val="none" w:sz="0" w:space="0" w:color="auto"/>
        <w:bottom w:val="none" w:sz="0" w:space="0" w:color="auto"/>
        <w:right w:val="none" w:sz="0" w:space="0" w:color="auto"/>
      </w:divBdr>
    </w:div>
    <w:div w:id="1914509998">
      <w:bodyDiv w:val="1"/>
      <w:marLeft w:val="0"/>
      <w:marRight w:val="0"/>
      <w:marTop w:val="0"/>
      <w:marBottom w:val="0"/>
      <w:divBdr>
        <w:top w:val="none" w:sz="0" w:space="0" w:color="auto"/>
        <w:left w:val="none" w:sz="0" w:space="0" w:color="auto"/>
        <w:bottom w:val="none" w:sz="0" w:space="0" w:color="auto"/>
        <w:right w:val="none" w:sz="0" w:space="0" w:color="auto"/>
      </w:divBdr>
    </w:div>
    <w:div w:id="1919703644">
      <w:bodyDiv w:val="1"/>
      <w:marLeft w:val="0"/>
      <w:marRight w:val="0"/>
      <w:marTop w:val="0"/>
      <w:marBottom w:val="0"/>
      <w:divBdr>
        <w:top w:val="none" w:sz="0" w:space="0" w:color="auto"/>
        <w:left w:val="none" w:sz="0" w:space="0" w:color="auto"/>
        <w:bottom w:val="none" w:sz="0" w:space="0" w:color="auto"/>
        <w:right w:val="none" w:sz="0" w:space="0" w:color="auto"/>
      </w:divBdr>
    </w:div>
    <w:div w:id="1963149470">
      <w:bodyDiv w:val="1"/>
      <w:marLeft w:val="0"/>
      <w:marRight w:val="0"/>
      <w:marTop w:val="0"/>
      <w:marBottom w:val="0"/>
      <w:divBdr>
        <w:top w:val="none" w:sz="0" w:space="0" w:color="auto"/>
        <w:left w:val="none" w:sz="0" w:space="0" w:color="auto"/>
        <w:bottom w:val="none" w:sz="0" w:space="0" w:color="auto"/>
        <w:right w:val="none" w:sz="0" w:space="0" w:color="auto"/>
      </w:divBdr>
    </w:div>
    <w:div w:id="1981298860">
      <w:bodyDiv w:val="1"/>
      <w:marLeft w:val="0"/>
      <w:marRight w:val="0"/>
      <w:marTop w:val="0"/>
      <w:marBottom w:val="0"/>
      <w:divBdr>
        <w:top w:val="none" w:sz="0" w:space="0" w:color="auto"/>
        <w:left w:val="none" w:sz="0" w:space="0" w:color="auto"/>
        <w:bottom w:val="none" w:sz="0" w:space="0" w:color="auto"/>
        <w:right w:val="none" w:sz="0" w:space="0" w:color="auto"/>
      </w:divBdr>
    </w:div>
    <w:div w:id="2027242316">
      <w:bodyDiv w:val="1"/>
      <w:marLeft w:val="0"/>
      <w:marRight w:val="0"/>
      <w:marTop w:val="0"/>
      <w:marBottom w:val="0"/>
      <w:divBdr>
        <w:top w:val="none" w:sz="0" w:space="0" w:color="auto"/>
        <w:left w:val="none" w:sz="0" w:space="0" w:color="auto"/>
        <w:bottom w:val="none" w:sz="0" w:space="0" w:color="auto"/>
        <w:right w:val="none" w:sz="0" w:space="0" w:color="auto"/>
      </w:divBdr>
    </w:div>
    <w:div w:id="2029721901">
      <w:bodyDiv w:val="1"/>
      <w:marLeft w:val="0"/>
      <w:marRight w:val="0"/>
      <w:marTop w:val="0"/>
      <w:marBottom w:val="0"/>
      <w:divBdr>
        <w:top w:val="none" w:sz="0" w:space="0" w:color="auto"/>
        <w:left w:val="none" w:sz="0" w:space="0" w:color="auto"/>
        <w:bottom w:val="none" w:sz="0" w:space="0" w:color="auto"/>
        <w:right w:val="none" w:sz="0" w:space="0" w:color="auto"/>
      </w:divBdr>
    </w:div>
    <w:div w:id="2135370551">
      <w:bodyDiv w:val="1"/>
      <w:marLeft w:val="0"/>
      <w:marRight w:val="0"/>
      <w:marTop w:val="0"/>
      <w:marBottom w:val="0"/>
      <w:divBdr>
        <w:top w:val="none" w:sz="0" w:space="0" w:color="auto"/>
        <w:left w:val="none" w:sz="0" w:space="0" w:color="auto"/>
        <w:bottom w:val="none" w:sz="0" w:space="0" w:color="auto"/>
        <w:right w:val="none" w:sz="0" w:space="0" w:color="auto"/>
      </w:divBdr>
      <w:divsChild>
        <w:div w:id="482041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nhs.uk"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wmedinfo@nhs.net?subject=New%20Medicines%20Newsletter"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ukmi.nhs.uk/nd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wmedinfo@nhs.net?subject=New%20Medicines%20Newslett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www.sps.nhs.uk/articles/sps-horizon-scanning/" TargetMode="External"/><Relationship Id="rId2" Type="http://schemas.openxmlformats.org/officeDocument/2006/relationships/image" Target="media/image4.png"/><Relationship Id="rId1" Type="http://schemas.openxmlformats.org/officeDocument/2006/relationships/image" Target="media/image2.jpeg"/><Relationship Id="rId4" Type="http://schemas.openxmlformats.org/officeDocument/2006/relationships/hyperlink" Target="https://www.sps.nhs.uk/home/planning/annual-medicines-planning/"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PPU\MedicinesInfo\Publications%20NWMIC\New%20Medicines%20News%20(incl%20Clinical%20Pharmacist)\Admin\New%20Medicines%20New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6E074-DAC3-464B-8E55-38477415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Medicines News template 2024</Template>
  <TotalTime>686</TotalTime>
  <Pages>5</Pages>
  <Words>2180</Words>
  <Characters>14102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NDO home | Contact | Register for NDO access</vt:lpstr>
    </vt:vector>
  </TitlesOfParts>
  <Company>NMHIS</Company>
  <LinksUpToDate>false</LinksUpToDate>
  <CharactersWithSpaces>16250</CharactersWithSpaces>
  <SharedDoc>false</SharedDoc>
  <HLinks>
    <vt:vector size="498" baseType="variant">
      <vt:variant>
        <vt:i4>458841</vt:i4>
      </vt:variant>
      <vt:variant>
        <vt:i4>228</vt:i4>
      </vt:variant>
      <vt:variant>
        <vt:i4>0</vt:i4>
      </vt:variant>
      <vt:variant>
        <vt:i4>5</vt:i4>
      </vt:variant>
      <vt:variant>
        <vt:lpwstr>https://www.sps.nhs.uk/medicines/zuranolone/</vt:lpwstr>
      </vt:variant>
      <vt:variant>
        <vt:lpwstr/>
      </vt:variant>
      <vt:variant>
        <vt:i4>7602219</vt:i4>
      </vt:variant>
      <vt:variant>
        <vt:i4>225</vt:i4>
      </vt:variant>
      <vt:variant>
        <vt:i4>0</vt:i4>
      </vt:variant>
      <vt:variant>
        <vt:i4>5</vt:i4>
      </vt:variant>
      <vt:variant>
        <vt:lpwstr>https://www.sps.nhs.uk/medicines/zoliflodacin/</vt:lpwstr>
      </vt:variant>
      <vt:variant>
        <vt:lpwstr/>
      </vt:variant>
      <vt:variant>
        <vt:i4>8323111</vt:i4>
      </vt:variant>
      <vt:variant>
        <vt:i4>222</vt:i4>
      </vt:variant>
      <vt:variant>
        <vt:i4>0</vt:i4>
      </vt:variant>
      <vt:variant>
        <vt:i4>5</vt:i4>
      </vt:variant>
      <vt:variant>
        <vt:lpwstr>https://www.sps.nhs.uk/medicines/upadacitinib/</vt:lpwstr>
      </vt:variant>
      <vt:variant>
        <vt:lpwstr/>
      </vt:variant>
      <vt:variant>
        <vt:i4>5570648</vt:i4>
      </vt:variant>
      <vt:variant>
        <vt:i4>219</vt:i4>
      </vt:variant>
      <vt:variant>
        <vt:i4>0</vt:i4>
      </vt:variant>
      <vt:variant>
        <vt:i4>5</vt:i4>
      </vt:variant>
      <vt:variant>
        <vt:lpwstr>https://www.sps.nhs.uk/medicines/sep-363856/</vt:lpwstr>
      </vt:variant>
      <vt:variant>
        <vt:lpwstr/>
      </vt:variant>
      <vt:variant>
        <vt:i4>131160</vt:i4>
      </vt:variant>
      <vt:variant>
        <vt:i4>216</vt:i4>
      </vt:variant>
      <vt:variant>
        <vt:i4>0</vt:i4>
      </vt:variant>
      <vt:variant>
        <vt:i4>5</vt:i4>
      </vt:variant>
      <vt:variant>
        <vt:lpwstr>https://www.sps.nhs.uk/medicines/padesvonil/</vt:lpwstr>
      </vt:variant>
      <vt:variant>
        <vt:lpwstr/>
      </vt:variant>
      <vt:variant>
        <vt:i4>4456520</vt:i4>
      </vt:variant>
      <vt:variant>
        <vt:i4>213</vt:i4>
      </vt:variant>
      <vt:variant>
        <vt:i4>0</vt:i4>
      </vt:variant>
      <vt:variant>
        <vt:i4>5</vt:i4>
      </vt:variant>
      <vt:variant>
        <vt:lpwstr>https://www.sps.nhs.uk/medicines/opiranserin/</vt:lpwstr>
      </vt:variant>
      <vt:variant>
        <vt:lpwstr/>
      </vt:variant>
      <vt:variant>
        <vt:i4>2555944</vt:i4>
      </vt:variant>
      <vt:variant>
        <vt:i4>210</vt:i4>
      </vt:variant>
      <vt:variant>
        <vt:i4>0</vt:i4>
      </vt:variant>
      <vt:variant>
        <vt:i4>5</vt:i4>
      </vt:variant>
      <vt:variant>
        <vt:lpwstr>https://www.sps.nhs.uk/medicines/mitapivat/</vt:lpwstr>
      </vt:variant>
      <vt:variant>
        <vt:lpwstr/>
      </vt:variant>
      <vt:variant>
        <vt:i4>393288</vt:i4>
      </vt:variant>
      <vt:variant>
        <vt:i4>207</vt:i4>
      </vt:variant>
      <vt:variant>
        <vt:i4>0</vt:i4>
      </vt:variant>
      <vt:variant>
        <vt:i4>5</vt:i4>
      </vt:variant>
      <vt:variant>
        <vt:lpwstr>https://www.sps.nhs.uk/medicines/linzagolix/</vt:lpwstr>
      </vt:variant>
      <vt:variant>
        <vt:lpwstr/>
      </vt:variant>
      <vt:variant>
        <vt:i4>3604520</vt:i4>
      </vt:variant>
      <vt:variant>
        <vt:i4>204</vt:i4>
      </vt:variant>
      <vt:variant>
        <vt:i4>0</vt:i4>
      </vt:variant>
      <vt:variant>
        <vt:i4>5</vt:i4>
      </vt:variant>
      <vt:variant>
        <vt:lpwstr>https://www.sps.nhs.uk/medicines/leriglitazone/</vt:lpwstr>
      </vt:variant>
      <vt:variant>
        <vt:lpwstr/>
      </vt:variant>
      <vt:variant>
        <vt:i4>7929889</vt:i4>
      </vt:variant>
      <vt:variant>
        <vt:i4>201</vt:i4>
      </vt:variant>
      <vt:variant>
        <vt:i4>0</vt:i4>
      </vt:variant>
      <vt:variant>
        <vt:i4>5</vt:i4>
      </vt:variant>
      <vt:variant>
        <vt:lpwstr>https://www.sps.nhs.uk/medicines/lebrikizumab/</vt:lpwstr>
      </vt:variant>
      <vt:variant>
        <vt:lpwstr/>
      </vt:variant>
      <vt:variant>
        <vt:i4>524381</vt:i4>
      </vt:variant>
      <vt:variant>
        <vt:i4>198</vt:i4>
      </vt:variant>
      <vt:variant>
        <vt:i4>0</vt:i4>
      </vt:variant>
      <vt:variant>
        <vt:i4>5</vt:i4>
      </vt:variant>
      <vt:variant>
        <vt:lpwstr>https://www.sps.nhs.uk/medicines/glatiramer/</vt:lpwstr>
      </vt:variant>
      <vt:variant>
        <vt:lpwstr/>
      </vt:variant>
      <vt:variant>
        <vt:i4>5832790</vt:i4>
      </vt:variant>
      <vt:variant>
        <vt:i4>195</vt:i4>
      </vt:variant>
      <vt:variant>
        <vt:i4>0</vt:i4>
      </vt:variant>
      <vt:variant>
        <vt:i4>5</vt:i4>
      </vt:variant>
      <vt:variant>
        <vt:lpwstr>https://www.sps.nhs.uk/medicines/fcr-001/</vt:lpwstr>
      </vt:variant>
      <vt:variant>
        <vt:lpwstr/>
      </vt:variant>
      <vt:variant>
        <vt:i4>3080232</vt:i4>
      </vt:variant>
      <vt:variant>
        <vt:i4>192</vt:i4>
      </vt:variant>
      <vt:variant>
        <vt:i4>0</vt:i4>
      </vt:variant>
      <vt:variant>
        <vt:i4>5</vt:i4>
      </vt:variant>
      <vt:variant>
        <vt:lpwstr>https://www.sps.nhs.uk/medicines/empagliflozin/</vt:lpwstr>
      </vt:variant>
      <vt:variant>
        <vt:lpwstr/>
      </vt:variant>
      <vt:variant>
        <vt:i4>2752551</vt:i4>
      </vt:variant>
      <vt:variant>
        <vt:i4>189</vt:i4>
      </vt:variant>
      <vt:variant>
        <vt:i4>0</vt:i4>
      </vt:variant>
      <vt:variant>
        <vt:i4>5</vt:i4>
      </vt:variant>
      <vt:variant>
        <vt:lpwstr>https://www.sps.nhs.uk/medicines/diazoxide/</vt:lpwstr>
      </vt:variant>
      <vt:variant>
        <vt:lpwstr/>
      </vt:variant>
      <vt:variant>
        <vt:i4>6815782</vt:i4>
      </vt:variant>
      <vt:variant>
        <vt:i4>186</vt:i4>
      </vt:variant>
      <vt:variant>
        <vt:i4>0</vt:i4>
      </vt:variant>
      <vt:variant>
        <vt:i4>5</vt:i4>
      </vt:variant>
      <vt:variant>
        <vt:lpwstr>https://www.sps.nhs.uk/medicines/dasiglucagon/</vt:lpwstr>
      </vt:variant>
      <vt:variant>
        <vt:lpwstr/>
      </vt:variant>
      <vt:variant>
        <vt:i4>4194380</vt:i4>
      </vt:variant>
      <vt:variant>
        <vt:i4>183</vt:i4>
      </vt:variant>
      <vt:variant>
        <vt:i4>0</vt:i4>
      </vt:variant>
      <vt:variant>
        <vt:i4>5</vt:i4>
      </vt:variant>
      <vt:variant>
        <vt:lpwstr>https://www.sps.nhs.uk/medicines/cyclobenzaprine/</vt:lpwstr>
      </vt:variant>
      <vt:variant>
        <vt:lpwstr/>
      </vt:variant>
      <vt:variant>
        <vt:i4>1179733</vt:i4>
      </vt:variant>
      <vt:variant>
        <vt:i4>180</vt:i4>
      </vt:variant>
      <vt:variant>
        <vt:i4>0</vt:i4>
      </vt:variant>
      <vt:variant>
        <vt:i4>5</vt:i4>
      </vt:variant>
      <vt:variant>
        <vt:lpwstr>https://www.sps.nhs.uk/medicines/bumetanide/</vt:lpwstr>
      </vt:variant>
      <vt:variant>
        <vt:lpwstr/>
      </vt:variant>
      <vt:variant>
        <vt:i4>1835099</vt:i4>
      </vt:variant>
      <vt:variant>
        <vt:i4>177</vt:i4>
      </vt:variant>
      <vt:variant>
        <vt:i4>0</vt:i4>
      </vt:variant>
      <vt:variant>
        <vt:i4>5</vt:i4>
      </vt:variant>
      <vt:variant>
        <vt:lpwstr>https://www.sps.nhs.uk/medicines/budesonide/</vt:lpwstr>
      </vt:variant>
      <vt:variant>
        <vt:lpwstr/>
      </vt:variant>
      <vt:variant>
        <vt:i4>1638427</vt:i4>
      </vt:variant>
      <vt:variant>
        <vt:i4>174</vt:i4>
      </vt:variant>
      <vt:variant>
        <vt:i4>0</vt:i4>
      </vt:variant>
      <vt:variant>
        <vt:i4>5</vt:i4>
      </vt:variant>
      <vt:variant>
        <vt:lpwstr>https://www.sps.nhs.uk/medicines/bardoxolone-methyl/</vt:lpwstr>
      </vt:variant>
      <vt:variant>
        <vt:lpwstr/>
      </vt:variant>
      <vt:variant>
        <vt:i4>5767195</vt:i4>
      </vt:variant>
      <vt:variant>
        <vt:i4>171</vt:i4>
      </vt:variant>
      <vt:variant>
        <vt:i4>0</vt:i4>
      </vt:variant>
      <vt:variant>
        <vt:i4>5</vt:i4>
      </vt:variant>
      <vt:variant>
        <vt:lpwstr>https://www.sps.nhs.uk/medicines/autologous-bm-derived-stem-cell-therapy/</vt:lpwstr>
      </vt:variant>
      <vt:variant>
        <vt:lpwstr/>
      </vt:variant>
      <vt:variant>
        <vt:i4>4587591</vt:i4>
      </vt:variant>
      <vt:variant>
        <vt:i4>168</vt:i4>
      </vt:variant>
      <vt:variant>
        <vt:i4>0</vt:i4>
      </vt:variant>
      <vt:variant>
        <vt:i4>5</vt:i4>
      </vt:variant>
      <vt:variant>
        <vt:lpwstr>https://www.sps.nhs.uk/medicines/at-gtx-501/</vt:lpwstr>
      </vt:variant>
      <vt:variant>
        <vt:lpwstr/>
      </vt:variant>
      <vt:variant>
        <vt:i4>7864359</vt:i4>
      </vt:variant>
      <vt:variant>
        <vt:i4>165</vt:i4>
      </vt:variant>
      <vt:variant>
        <vt:i4>0</vt:i4>
      </vt:variant>
      <vt:variant>
        <vt:i4>5</vt:i4>
      </vt:variant>
      <vt:variant>
        <vt:lpwstr>https://www.sps.nhs.uk/medicines/telapristone/</vt:lpwstr>
      </vt:variant>
      <vt:variant>
        <vt:lpwstr/>
      </vt:variant>
      <vt:variant>
        <vt:i4>7864359</vt:i4>
      </vt:variant>
      <vt:variant>
        <vt:i4>162</vt:i4>
      </vt:variant>
      <vt:variant>
        <vt:i4>0</vt:i4>
      </vt:variant>
      <vt:variant>
        <vt:i4>5</vt:i4>
      </vt:variant>
      <vt:variant>
        <vt:lpwstr>https://www.sps.nhs.uk/medicines/telapristone/</vt:lpwstr>
      </vt:variant>
      <vt:variant>
        <vt:lpwstr/>
      </vt:variant>
      <vt:variant>
        <vt:i4>1769490</vt:i4>
      </vt:variant>
      <vt:variant>
        <vt:i4>159</vt:i4>
      </vt:variant>
      <vt:variant>
        <vt:i4>0</vt:i4>
      </vt:variant>
      <vt:variant>
        <vt:i4>5</vt:i4>
      </vt:variant>
      <vt:variant>
        <vt:lpwstr>https://www.sps.nhs.uk/medicines/t-cell-replacement-therapy/</vt:lpwstr>
      </vt:variant>
      <vt:variant>
        <vt:lpwstr/>
      </vt:variant>
      <vt:variant>
        <vt:i4>1245262</vt:i4>
      </vt:variant>
      <vt:variant>
        <vt:i4>156</vt:i4>
      </vt:variant>
      <vt:variant>
        <vt:i4>0</vt:i4>
      </vt:variant>
      <vt:variant>
        <vt:i4>5</vt:i4>
      </vt:variant>
      <vt:variant>
        <vt:lpwstr>https://www.sps.nhs.uk/medicines/salmeterol/</vt:lpwstr>
      </vt:variant>
      <vt:variant>
        <vt:lpwstr/>
      </vt:variant>
      <vt:variant>
        <vt:i4>1966174</vt:i4>
      </vt:variant>
      <vt:variant>
        <vt:i4>153</vt:i4>
      </vt:variant>
      <vt:variant>
        <vt:i4>0</vt:i4>
      </vt:variant>
      <vt:variant>
        <vt:i4>5</vt:i4>
      </vt:variant>
      <vt:variant>
        <vt:lpwstr>https://www.sps.nhs.uk/medicines/rapastinel/</vt:lpwstr>
      </vt:variant>
      <vt:variant>
        <vt:lpwstr/>
      </vt:variant>
      <vt:variant>
        <vt:i4>3276927</vt:i4>
      </vt:variant>
      <vt:variant>
        <vt:i4>150</vt:i4>
      </vt:variant>
      <vt:variant>
        <vt:i4>0</vt:i4>
      </vt:variant>
      <vt:variant>
        <vt:i4>5</vt:i4>
      </vt:variant>
      <vt:variant>
        <vt:lpwstr>https://www.sps.nhs.uk/medicines/pegylated-recombinant-human-hyaluronidase/</vt:lpwstr>
      </vt:variant>
      <vt:variant>
        <vt:lpwstr/>
      </vt:variant>
      <vt:variant>
        <vt:i4>4849741</vt:i4>
      </vt:variant>
      <vt:variant>
        <vt:i4>147</vt:i4>
      </vt:variant>
      <vt:variant>
        <vt:i4>0</vt:i4>
      </vt:variant>
      <vt:variant>
        <vt:i4>5</vt:i4>
      </vt:variant>
      <vt:variant>
        <vt:lpwstr>https://www.sps.nhs.uk/medicines/nilvadipine/</vt:lpwstr>
      </vt:variant>
      <vt:variant>
        <vt:lpwstr/>
      </vt:variant>
      <vt:variant>
        <vt:i4>7798828</vt:i4>
      </vt:variant>
      <vt:variant>
        <vt:i4>144</vt:i4>
      </vt:variant>
      <vt:variant>
        <vt:i4>0</vt:i4>
      </vt:variant>
      <vt:variant>
        <vt:i4>5</vt:i4>
      </vt:variant>
      <vt:variant>
        <vt:lpwstr>https://www.sps.nhs.uk/medicines/naloxone/</vt:lpwstr>
      </vt:variant>
      <vt:variant>
        <vt:lpwstr/>
      </vt:variant>
      <vt:variant>
        <vt:i4>1441887</vt:i4>
      </vt:variant>
      <vt:variant>
        <vt:i4>141</vt:i4>
      </vt:variant>
      <vt:variant>
        <vt:i4>0</vt:i4>
      </vt:variant>
      <vt:variant>
        <vt:i4>5</vt:i4>
      </vt:variant>
      <vt:variant>
        <vt:lpwstr>https://www.sps.nhs.uk/medicines/macitentan/</vt:lpwstr>
      </vt:variant>
      <vt:variant>
        <vt:lpwstr/>
      </vt:variant>
      <vt:variant>
        <vt:i4>6225993</vt:i4>
      </vt:variant>
      <vt:variant>
        <vt:i4>138</vt:i4>
      </vt:variant>
      <vt:variant>
        <vt:i4>0</vt:i4>
      </vt:variant>
      <vt:variant>
        <vt:i4>5</vt:i4>
      </vt:variant>
      <vt:variant>
        <vt:lpwstr>https://www.sps.nhs.uk/medicines/hydroxyprogesterone/</vt:lpwstr>
      </vt:variant>
      <vt:variant>
        <vt:lpwstr/>
      </vt:variant>
      <vt:variant>
        <vt:i4>2687026</vt:i4>
      </vt:variant>
      <vt:variant>
        <vt:i4>135</vt:i4>
      </vt:variant>
      <vt:variant>
        <vt:i4>0</vt:i4>
      </vt:variant>
      <vt:variant>
        <vt:i4>5</vt:i4>
      </vt:variant>
      <vt:variant>
        <vt:lpwstr>https://www.sps.nhs.uk/medicines/ciprofloxacin/</vt:lpwstr>
      </vt:variant>
      <vt:variant>
        <vt:lpwstr/>
      </vt:variant>
      <vt:variant>
        <vt:i4>196702</vt:i4>
      </vt:variant>
      <vt:variant>
        <vt:i4>132</vt:i4>
      </vt:variant>
      <vt:variant>
        <vt:i4>0</vt:i4>
      </vt:variant>
      <vt:variant>
        <vt:i4>5</vt:i4>
      </vt:variant>
      <vt:variant>
        <vt:lpwstr>https://www.sps.nhs.uk/medicines/calcitonin/</vt:lpwstr>
      </vt:variant>
      <vt:variant>
        <vt:lpwstr/>
      </vt:variant>
      <vt:variant>
        <vt:i4>7667749</vt:i4>
      </vt:variant>
      <vt:variant>
        <vt:i4>129</vt:i4>
      </vt:variant>
      <vt:variant>
        <vt:i4>0</vt:i4>
      </vt:variant>
      <vt:variant>
        <vt:i4>5</vt:i4>
      </vt:variant>
      <vt:variant>
        <vt:lpwstr>https://www.sps.nhs.uk/medicines/c1-esterase-inhibitor/</vt:lpwstr>
      </vt:variant>
      <vt:variant>
        <vt:lpwstr/>
      </vt:variant>
      <vt:variant>
        <vt:i4>2490478</vt:i4>
      </vt:variant>
      <vt:variant>
        <vt:i4>126</vt:i4>
      </vt:variant>
      <vt:variant>
        <vt:i4>0</vt:i4>
      </vt:variant>
      <vt:variant>
        <vt:i4>5</vt:i4>
      </vt:variant>
      <vt:variant>
        <vt:lpwstr>https://www.sps.nhs.uk/medicines/buprenorphine-samidorphan/</vt:lpwstr>
      </vt:variant>
      <vt:variant>
        <vt:lpwstr/>
      </vt:variant>
      <vt:variant>
        <vt:i4>2621493</vt:i4>
      </vt:variant>
      <vt:variant>
        <vt:i4>123</vt:i4>
      </vt:variant>
      <vt:variant>
        <vt:i4>0</vt:i4>
      </vt:variant>
      <vt:variant>
        <vt:i4>5</vt:i4>
      </vt:variant>
      <vt:variant>
        <vt:lpwstr>https://www.sps.nhs.uk/medicines/buprenorphine/</vt:lpwstr>
      </vt:variant>
      <vt:variant>
        <vt:lpwstr/>
      </vt:variant>
      <vt:variant>
        <vt:i4>3538984</vt:i4>
      </vt:variant>
      <vt:variant>
        <vt:i4>120</vt:i4>
      </vt:variant>
      <vt:variant>
        <vt:i4>0</vt:i4>
      </vt:variant>
      <vt:variant>
        <vt:i4>5</vt:i4>
      </vt:variant>
      <vt:variant>
        <vt:lpwstr>https://www.sps.nhs.uk/medicines/botulinum-a-toxin/</vt:lpwstr>
      </vt:variant>
      <vt:variant>
        <vt:lpwstr/>
      </vt:variant>
      <vt:variant>
        <vt:i4>458843</vt:i4>
      </vt:variant>
      <vt:variant>
        <vt:i4>117</vt:i4>
      </vt:variant>
      <vt:variant>
        <vt:i4>0</vt:i4>
      </vt:variant>
      <vt:variant>
        <vt:i4>5</vt:i4>
      </vt:variant>
      <vt:variant>
        <vt:lpwstr>https://www.sps.nhs.uk/medicines/biotin/</vt:lpwstr>
      </vt:variant>
      <vt:variant>
        <vt:lpwstr/>
      </vt:variant>
      <vt:variant>
        <vt:i4>3145761</vt:i4>
      </vt:variant>
      <vt:variant>
        <vt:i4>114</vt:i4>
      </vt:variant>
      <vt:variant>
        <vt:i4>0</vt:i4>
      </vt:variant>
      <vt:variant>
        <vt:i4>5</vt:i4>
      </vt:variant>
      <vt:variant>
        <vt:lpwstr>https://www.sps.nhs.uk/medicines/arbaclofen-placarbil/</vt:lpwstr>
      </vt:variant>
      <vt:variant>
        <vt:lpwstr/>
      </vt:variant>
      <vt:variant>
        <vt:i4>1572889</vt:i4>
      </vt:variant>
      <vt:variant>
        <vt:i4>111</vt:i4>
      </vt:variant>
      <vt:variant>
        <vt:i4>0</vt:i4>
      </vt:variant>
      <vt:variant>
        <vt:i4>5</vt:i4>
      </vt:variant>
      <vt:variant>
        <vt:lpwstr>https://www.sps.nhs.uk/medicines/valoctocogene-roxaparvovec/</vt:lpwstr>
      </vt:variant>
      <vt:variant>
        <vt:lpwstr/>
      </vt:variant>
      <vt:variant>
        <vt:i4>2031697</vt:i4>
      </vt:variant>
      <vt:variant>
        <vt:i4>108</vt:i4>
      </vt:variant>
      <vt:variant>
        <vt:i4>0</vt:i4>
      </vt:variant>
      <vt:variant>
        <vt:i4>5</vt:i4>
      </vt:variant>
      <vt:variant>
        <vt:lpwstr>https://www.sps.nhs.uk/medicines/meningococcal-groups-a-c-w135-y-vaccine/</vt:lpwstr>
      </vt:variant>
      <vt:variant>
        <vt:lpwstr/>
      </vt:variant>
      <vt:variant>
        <vt:i4>5374020</vt:i4>
      </vt:variant>
      <vt:variant>
        <vt:i4>105</vt:i4>
      </vt:variant>
      <vt:variant>
        <vt:i4>0</vt:i4>
      </vt:variant>
      <vt:variant>
        <vt:i4>5</vt:i4>
      </vt:variant>
      <vt:variant>
        <vt:lpwstr>https://www.sps.nhs.uk/medicines/encorafenib/</vt:lpwstr>
      </vt:variant>
      <vt:variant>
        <vt:lpwstr/>
      </vt:variant>
      <vt:variant>
        <vt:i4>7209001</vt:i4>
      </vt:variant>
      <vt:variant>
        <vt:i4>102</vt:i4>
      </vt:variant>
      <vt:variant>
        <vt:i4>0</vt:i4>
      </vt:variant>
      <vt:variant>
        <vt:i4>5</vt:i4>
      </vt:variant>
      <vt:variant>
        <vt:lpwstr>https://www.sps.nhs.uk/medicines/elexacaftor-ivacaftor-tezacaftor/</vt:lpwstr>
      </vt:variant>
      <vt:variant>
        <vt:lpwstr/>
      </vt:variant>
      <vt:variant>
        <vt:i4>4849729</vt:i4>
      </vt:variant>
      <vt:variant>
        <vt:i4>99</vt:i4>
      </vt:variant>
      <vt:variant>
        <vt:i4>0</vt:i4>
      </vt:variant>
      <vt:variant>
        <vt:i4>5</vt:i4>
      </vt:variant>
      <vt:variant>
        <vt:lpwstr>https://www.sps.nhs.uk/medicines/bulevirtide/</vt:lpwstr>
      </vt:variant>
      <vt:variant>
        <vt:lpwstr/>
      </vt:variant>
      <vt:variant>
        <vt:i4>5570637</vt:i4>
      </vt:variant>
      <vt:variant>
        <vt:i4>96</vt:i4>
      </vt:variant>
      <vt:variant>
        <vt:i4>0</vt:i4>
      </vt:variant>
      <vt:variant>
        <vt:i4>5</vt:i4>
      </vt:variant>
      <vt:variant>
        <vt:lpwstr>https://www.sps.nhs.uk/medicines/binimetinib/</vt:lpwstr>
      </vt:variant>
      <vt:variant>
        <vt:lpwstr/>
      </vt:variant>
      <vt:variant>
        <vt:i4>4128817</vt:i4>
      </vt:variant>
      <vt:variant>
        <vt:i4>93</vt:i4>
      </vt:variant>
      <vt:variant>
        <vt:i4>0</vt:i4>
      </vt:variant>
      <vt:variant>
        <vt:i4>5</vt:i4>
      </vt:variant>
      <vt:variant>
        <vt:lpwstr>https://www.sps.nhs.uk/medicines/ad26-ebov-vaccine/</vt:lpwstr>
      </vt:variant>
      <vt:variant>
        <vt:lpwstr/>
      </vt:variant>
      <vt:variant>
        <vt:i4>2555952</vt:i4>
      </vt:variant>
      <vt:variant>
        <vt:i4>90</vt:i4>
      </vt:variant>
      <vt:variant>
        <vt:i4>0</vt:i4>
      </vt:variant>
      <vt:variant>
        <vt:i4>5</vt:i4>
      </vt:variant>
      <vt:variant>
        <vt:lpwstr>https://www.sps.nhs.uk/medicines/acalabrutinib/</vt:lpwstr>
      </vt:variant>
      <vt:variant>
        <vt:lpwstr/>
      </vt:variant>
      <vt:variant>
        <vt:i4>2818164</vt:i4>
      </vt:variant>
      <vt:variant>
        <vt:i4>87</vt:i4>
      </vt:variant>
      <vt:variant>
        <vt:i4>0</vt:i4>
      </vt:variant>
      <vt:variant>
        <vt:i4>5</vt:i4>
      </vt:variant>
      <vt:variant>
        <vt:lpwstr>https://www.sps.nhs.uk/medicines/trastuzumab-emtansine/</vt:lpwstr>
      </vt:variant>
      <vt:variant>
        <vt:lpwstr/>
      </vt:variant>
      <vt:variant>
        <vt:i4>7471146</vt:i4>
      </vt:variant>
      <vt:variant>
        <vt:i4>84</vt:i4>
      </vt:variant>
      <vt:variant>
        <vt:i4>0</vt:i4>
      </vt:variant>
      <vt:variant>
        <vt:i4>5</vt:i4>
      </vt:variant>
      <vt:variant>
        <vt:lpwstr>https://www.sps.nhs.uk/medicines/solriamfetol/</vt:lpwstr>
      </vt:variant>
      <vt:variant>
        <vt:lpwstr/>
      </vt:variant>
      <vt:variant>
        <vt:i4>2621480</vt:i4>
      </vt:variant>
      <vt:variant>
        <vt:i4>81</vt:i4>
      </vt:variant>
      <vt:variant>
        <vt:i4>0</vt:i4>
      </vt:variant>
      <vt:variant>
        <vt:i4>5</vt:i4>
      </vt:variant>
      <vt:variant>
        <vt:lpwstr>https://www.sps.nhs.uk/medicines/siponimod/</vt:lpwstr>
      </vt:variant>
      <vt:variant>
        <vt:lpwstr/>
      </vt:variant>
      <vt:variant>
        <vt:i4>5308487</vt:i4>
      </vt:variant>
      <vt:variant>
        <vt:i4>78</vt:i4>
      </vt:variant>
      <vt:variant>
        <vt:i4>0</vt:i4>
      </vt:variant>
      <vt:variant>
        <vt:i4>5</vt:i4>
      </vt:variant>
      <vt:variant>
        <vt:lpwstr>https://www.sps.nhs.uk/medicines/polatuzumab/</vt:lpwstr>
      </vt:variant>
      <vt:variant>
        <vt:lpwstr/>
      </vt:variant>
      <vt:variant>
        <vt:i4>6946876</vt:i4>
      </vt:variant>
      <vt:variant>
        <vt:i4>75</vt:i4>
      </vt:variant>
      <vt:variant>
        <vt:i4>0</vt:i4>
      </vt:variant>
      <vt:variant>
        <vt:i4>5</vt:i4>
      </vt:variant>
      <vt:variant>
        <vt:lpwstr>https://www.sps.nhs.uk/medicines/osilodrostat/</vt:lpwstr>
      </vt:variant>
      <vt:variant>
        <vt:lpwstr/>
      </vt:variant>
      <vt:variant>
        <vt:i4>6291494</vt:i4>
      </vt:variant>
      <vt:variant>
        <vt:i4>72</vt:i4>
      </vt:variant>
      <vt:variant>
        <vt:i4>0</vt:i4>
      </vt:variant>
      <vt:variant>
        <vt:i4>5</vt:i4>
      </vt:variant>
      <vt:variant>
        <vt:lpwstr>https://www.sps.nhs.uk/medicines/lenalidomide/</vt:lpwstr>
      </vt:variant>
      <vt:variant>
        <vt:lpwstr/>
      </vt:variant>
      <vt:variant>
        <vt:i4>7733280</vt:i4>
      </vt:variant>
      <vt:variant>
        <vt:i4>69</vt:i4>
      </vt:variant>
      <vt:variant>
        <vt:i4>0</vt:i4>
      </vt:variant>
      <vt:variant>
        <vt:i4>5</vt:i4>
      </vt:variant>
      <vt:variant>
        <vt:lpwstr>https://www.sps.nhs.uk/medicines/fostamatinib-disodium/</vt:lpwstr>
      </vt:variant>
      <vt:variant>
        <vt:lpwstr/>
      </vt:variant>
      <vt:variant>
        <vt:i4>3342373</vt:i4>
      </vt:variant>
      <vt:variant>
        <vt:i4>66</vt:i4>
      </vt:variant>
      <vt:variant>
        <vt:i4>0</vt:i4>
      </vt:variant>
      <vt:variant>
        <vt:i4>5</vt:i4>
      </vt:variant>
      <vt:variant>
        <vt:lpwstr>https://www.sps.nhs.uk/medicines/trientine/</vt:lpwstr>
      </vt:variant>
      <vt:variant>
        <vt:lpwstr/>
      </vt:variant>
      <vt:variant>
        <vt:i4>1900625</vt:i4>
      </vt:variant>
      <vt:variant>
        <vt:i4>63</vt:i4>
      </vt:variant>
      <vt:variant>
        <vt:i4>0</vt:i4>
      </vt:variant>
      <vt:variant>
        <vt:i4>5</vt:i4>
      </vt:variant>
      <vt:variant>
        <vt:lpwstr>https://www.sps.nhs.uk/medicines/netarsudil-mesilate/</vt:lpwstr>
      </vt:variant>
      <vt:variant>
        <vt:lpwstr/>
      </vt:variant>
      <vt:variant>
        <vt:i4>7143468</vt:i4>
      </vt:variant>
      <vt:variant>
        <vt:i4>60</vt:i4>
      </vt:variant>
      <vt:variant>
        <vt:i4>0</vt:i4>
      </vt:variant>
      <vt:variant>
        <vt:i4>5</vt:i4>
      </vt:variant>
      <vt:variant>
        <vt:lpwstr>https://www.sps.nhs.uk/medicines/levodopa/</vt:lpwstr>
      </vt:variant>
      <vt:variant>
        <vt:lpwstr/>
      </vt:variant>
      <vt:variant>
        <vt:i4>852061</vt:i4>
      </vt:variant>
      <vt:variant>
        <vt:i4>57</vt:i4>
      </vt:variant>
      <vt:variant>
        <vt:i4>0</vt:i4>
      </vt:variant>
      <vt:variant>
        <vt:i4>5</vt:i4>
      </vt:variant>
      <vt:variant>
        <vt:lpwstr>https://www.sps.nhs.uk/medicines/infliximab/</vt:lpwstr>
      </vt:variant>
      <vt:variant>
        <vt:lpwstr/>
      </vt:variant>
      <vt:variant>
        <vt:i4>4063335</vt:i4>
      </vt:variant>
      <vt:variant>
        <vt:i4>54</vt:i4>
      </vt:variant>
      <vt:variant>
        <vt:i4>0</vt:i4>
      </vt:variant>
      <vt:variant>
        <vt:i4>5</vt:i4>
      </vt:variant>
      <vt:variant>
        <vt:lpwstr>https://www.sps.nhs.uk/medicines/ebola-vaccine/</vt:lpwstr>
      </vt:variant>
      <vt:variant>
        <vt:lpwstr/>
      </vt:variant>
      <vt:variant>
        <vt:i4>2621493</vt:i4>
      </vt:variant>
      <vt:variant>
        <vt:i4>51</vt:i4>
      </vt:variant>
      <vt:variant>
        <vt:i4>0</vt:i4>
      </vt:variant>
      <vt:variant>
        <vt:i4>5</vt:i4>
      </vt:variant>
      <vt:variant>
        <vt:lpwstr>https://www.sps.nhs.uk/medicines/buprenorphine/</vt:lpwstr>
      </vt:variant>
      <vt:variant>
        <vt:lpwstr/>
      </vt:variant>
      <vt:variant>
        <vt:i4>1179726</vt:i4>
      </vt:variant>
      <vt:variant>
        <vt:i4>48</vt:i4>
      </vt:variant>
      <vt:variant>
        <vt:i4>0</vt:i4>
      </vt:variant>
      <vt:variant>
        <vt:i4>5</vt:i4>
      </vt:variant>
      <vt:variant>
        <vt:lpwstr>https://www.sps.nhs.uk/medicines/arginine-lysine/</vt:lpwstr>
      </vt:variant>
      <vt:variant>
        <vt:lpwstr/>
      </vt:variant>
      <vt:variant>
        <vt:i4>7798824</vt:i4>
      </vt:variant>
      <vt:variant>
        <vt:i4>45</vt:i4>
      </vt:variant>
      <vt:variant>
        <vt:i4>0</vt:i4>
      </vt:variant>
      <vt:variant>
        <vt:i4>5</vt:i4>
      </vt:variant>
      <vt:variant>
        <vt:lpwstr>https://www.sps.nhs.uk/medicines/teriparatide/</vt:lpwstr>
      </vt:variant>
      <vt:variant>
        <vt:lpwstr/>
      </vt:variant>
      <vt:variant>
        <vt:i4>5767235</vt:i4>
      </vt:variant>
      <vt:variant>
        <vt:i4>42</vt:i4>
      </vt:variant>
      <vt:variant>
        <vt:i4>0</vt:i4>
      </vt:variant>
      <vt:variant>
        <vt:i4>5</vt:i4>
      </vt:variant>
      <vt:variant>
        <vt:lpwstr>https://www.sps.nhs.uk/medicines/paracetamol/</vt:lpwstr>
      </vt:variant>
      <vt:variant>
        <vt:lpwstr/>
      </vt:variant>
      <vt:variant>
        <vt:i4>2162736</vt:i4>
      </vt:variant>
      <vt:variant>
        <vt:i4>39</vt:i4>
      </vt:variant>
      <vt:variant>
        <vt:i4>0</vt:i4>
      </vt:variant>
      <vt:variant>
        <vt:i4>5</vt:i4>
      </vt:variant>
      <vt:variant>
        <vt:lpwstr>https://www.sps.nhs.uk/articles/ukmi-product-safety-assessments-2/</vt:lpwstr>
      </vt:variant>
      <vt:variant>
        <vt:lpwstr/>
      </vt:variant>
      <vt:variant>
        <vt:i4>5767196</vt:i4>
      </vt:variant>
      <vt:variant>
        <vt:i4>36</vt:i4>
      </vt:variant>
      <vt:variant>
        <vt:i4>0</vt:i4>
      </vt:variant>
      <vt:variant>
        <vt:i4>5</vt:i4>
      </vt:variant>
      <vt:variant>
        <vt:lpwstr>https://www.sps.nhs.uk/articles/prioritising-new-products-for-a-ukmi-product-safety-assessment-a-resource-for-ukmi-patient-safety-working-group/</vt:lpwstr>
      </vt:variant>
      <vt:variant>
        <vt:lpwstr/>
      </vt:variant>
      <vt:variant>
        <vt:i4>3211304</vt:i4>
      </vt:variant>
      <vt:variant>
        <vt:i4>33</vt:i4>
      </vt:variant>
      <vt:variant>
        <vt:i4>0</vt:i4>
      </vt:variant>
      <vt:variant>
        <vt:i4>5</vt:i4>
      </vt:variant>
      <vt:variant>
        <vt:lpwstr>https://www.sps.nhs.uk/medicines/zanamivir/</vt:lpwstr>
      </vt:variant>
      <vt:variant>
        <vt:lpwstr/>
      </vt:variant>
      <vt:variant>
        <vt:i4>5111887</vt:i4>
      </vt:variant>
      <vt:variant>
        <vt:i4>30</vt:i4>
      </vt:variant>
      <vt:variant>
        <vt:i4>0</vt:i4>
      </vt:variant>
      <vt:variant>
        <vt:i4>5</vt:i4>
      </vt:variant>
      <vt:variant>
        <vt:lpwstr>https://www.sps.nhs.uk/medicines/talazoparib/</vt:lpwstr>
      </vt:variant>
      <vt:variant>
        <vt:lpwstr/>
      </vt:variant>
      <vt:variant>
        <vt:i4>4653149</vt:i4>
      </vt:variant>
      <vt:variant>
        <vt:i4>27</vt:i4>
      </vt:variant>
      <vt:variant>
        <vt:i4>0</vt:i4>
      </vt:variant>
      <vt:variant>
        <vt:i4>5</vt:i4>
      </vt:variant>
      <vt:variant>
        <vt:lpwstr>https://www.sps.nhs.uk/medicines/ranibizumab/</vt:lpwstr>
      </vt:variant>
      <vt:variant>
        <vt:lpwstr/>
      </vt:variant>
      <vt:variant>
        <vt:i4>3801149</vt:i4>
      </vt:variant>
      <vt:variant>
        <vt:i4>24</vt:i4>
      </vt:variant>
      <vt:variant>
        <vt:i4>0</vt:i4>
      </vt:variant>
      <vt:variant>
        <vt:i4>5</vt:i4>
      </vt:variant>
      <vt:variant>
        <vt:lpwstr>https://www.sps.nhs.uk/medicines/pembrolizumab/</vt:lpwstr>
      </vt:variant>
      <vt:variant>
        <vt:lpwstr/>
      </vt:variant>
      <vt:variant>
        <vt:i4>7602210</vt:i4>
      </vt:variant>
      <vt:variant>
        <vt:i4>21</vt:i4>
      </vt:variant>
      <vt:variant>
        <vt:i4>0</vt:i4>
      </vt:variant>
      <vt:variant>
        <vt:i4>5</vt:i4>
      </vt:variant>
      <vt:variant>
        <vt:lpwstr>https://www.sps.nhs.uk/medicines/nicotine/</vt:lpwstr>
      </vt:variant>
      <vt:variant>
        <vt:lpwstr/>
      </vt:variant>
      <vt:variant>
        <vt:i4>4063329</vt:i4>
      </vt:variant>
      <vt:variant>
        <vt:i4>18</vt:i4>
      </vt:variant>
      <vt:variant>
        <vt:i4>0</vt:i4>
      </vt:variant>
      <vt:variant>
        <vt:i4>5</vt:i4>
      </vt:variant>
      <vt:variant>
        <vt:lpwstr>https://www.sps.nhs.uk/medicines/meropenem-vaborbactam/</vt:lpwstr>
      </vt:variant>
      <vt:variant>
        <vt:lpwstr/>
      </vt:variant>
      <vt:variant>
        <vt:i4>4980828</vt:i4>
      </vt:variant>
      <vt:variant>
        <vt:i4>15</vt:i4>
      </vt:variant>
      <vt:variant>
        <vt:i4>0</vt:i4>
      </vt:variant>
      <vt:variant>
        <vt:i4>5</vt:i4>
      </vt:variant>
      <vt:variant>
        <vt:lpwstr>https://www.sps.nhs.uk/medicines/liraglutide/</vt:lpwstr>
      </vt:variant>
      <vt:variant>
        <vt:lpwstr/>
      </vt:variant>
      <vt:variant>
        <vt:i4>6553663</vt:i4>
      </vt:variant>
      <vt:variant>
        <vt:i4>12</vt:i4>
      </vt:variant>
      <vt:variant>
        <vt:i4>0</vt:i4>
      </vt:variant>
      <vt:variant>
        <vt:i4>5</vt:i4>
      </vt:variant>
      <vt:variant>
        <vt:lpwstr>https://www.sps.nhs.uk/medicines/gilteritinib/</vt:lpwstr>
      </vt:variant>
      <vt:variant>
        <vt:lpwstr/>
      </vt:variant>
      <vt:variant>
        <vt:i4>4980809</vt:i4>
      </vt:variant>
      <vt:variant>
        <vt:i4>9</vt:i4>
      </vt:variant>
      <vt:variant>
        <vt:i4>0</vt:i4>
      </vt:variant>
      <vt:variant>
        <vt:i4>5</vt:i4>
      </vt:variant>
      <vt:variant>
        <vt:lpwstr>https://www.sps.nhs.uk/medicines/daratumumab/</vt:lpwstr>
      </vt:variant>
      <vt:variant>
        <vt:lpwstr/>
      </vt:variant>
      <vt:variant>
        <vt:i4>2883621</vt:i4>
      </vt:variant>
      <vt:variant>
        <vt:i4>6</vt:i4>
      </vt:variant>
      <vt:variant>
        <vt:i4>0</vt:i4>
      </vt:variant>
      <vt:variant>
        <vt:i4>5</vt:i4>
      </vt:variant>
      <vt:variant>
        <vt:lpwstr>https://www.sps.nhs.uk/medicines/beclometasone/</vt:lpwstr>
      </vt:variant>
      <vt:variant>
        <vt:lpwstr/>
      </vt:variant>
      <vt:variant>
        <vt:i4>589864</vt:i4>
      </vt:variant>
      <vt:variant>
        <vt:i4>3</vt:i4>
      </vt:variant>
      <vt:variant>
        <vt:i4>0</vt:i4>
      </vt:variant>
      <vt:variant>
        <vt:i4>5</vt:i4>
      </vt:variant>
      <vt:variant>
        <vt:lpwstr>mailto:nwmedinfo@nhs.net?subject=New%20Medicines%20Newsletter</vt:lpwstr>
      </vt:variant>
      <vt:variant>
        <vt:lpwstr/>
      </vt:variant>
      <vt:variant>
        <vt:i4>7077923</vt:i4>
      </vt:variant>
      <vt:variant>
        <vt:i4>0</vt:i4>
      </vt:variant>
      <vt:variant>
        <vt:i4>0</vt:i4>
      </vt:variant>
      <vt:variant>
        <vt:i4>5</vt:i4>
      </vt:variant>
      <vt:variant>
        <vt:lpwstr>http://www.sps.nhs.uk/</vt:lpwstr>
      </vt:variant>
      <vt:variant>
        <vt:lpwstr/>
      </vt:variant>
      <vt:variant>
        <vt:i4>589864</vt:i4>
      </vt:variant>
      <vt:variant>
        <vt:i4>18</vt:i4>
      </vt:variant>
      <vt:variant>
        <vt:i4>0</vt:i4>
      </vt:variant>
      <vt:variant>
        <vt:i4>5</vt:i4>
      </vt:variant>
      <vt:variant>
        <vt:lpwstr>mailto:nwmedinfo@nhs.net?subject=New%20Medicines%20Newsletter</vt:lpwstr>
      </vt:variant>
      <vt:variant>
        <vt:lpwstr/>
      </vt:variant>
      <vt:variant>
        <vt:i4>7929901</vt:i4>
      </vt:variant>
      <vt:variant>
        <vt:i4>15</vt:i4>
      </vt:variant>
      <vt:variant>
        <vt:i4>0</vt:i4>
      </vt:variant>
      <vt:variant>
        <vt:i4>5</vt:i4>
      </vt:variant>
      <vt:variant>
        <vt:lpwstr>https://www.sps.nhs.uk/wp-login.php?action=register</vt:lpwstr>
      </vt:variant>
      <vt:variant>
        <vt:lpwstr/>
      </vt:variant>
      <vt:variant>
        <vt:i4>7077923</vt:i4>
      </vt:variant>
      <vt:variant>
        <vt:i4>12</vt:i4>
      </vt:variant>
      <vt:variant>
        <vt:i4>0</vt:i4>
      </vt:variant>
      <vt:variant>
        <vt:i4>5</vt:i4>
      </vt:variant>
      <vt:variant>
        <vt:lpwstr>http://www.sps.nhs.uk/</vt:lpwstr>
      </vt:variant>
      <vt:variant>
        <vt:lpwstr/>
      </vt:variant>
      <vt:variant>
        <vt:i4>3211377</vt:i4>
      </vt:variant>
      <vt:variant>
        <vt:i4>9</vt:i4>
      </vt:variant>
      <vt:variant>
        <vt:i4>0</vt:i4>
      </vt:variant>
      <vt:variant>
        <vt:i4>5</vt:i4>
      </vt:variant>
      <vt:variant>
        <vt:lpwstr>http://www.ukmi.nhs.uk/ndo</vt:lpwstr>
      </vt:variant>
      <vt:variant>
        <vt:lpwstr/>
      </vt:variant>
      <vt:variant>
        <vt:i4>1638407</vt:i4>
      </vt:variant>
      <vt:variant>
        <vt:i4>6</vt:i4>
      </vt:variant>
      <vt:variant>
        <vt:i4>0</vt:i4>
      </vt:variant>
      <vt:variant>
        <vt:i4>5</vt:i4>
      </vt:variant>
      <vt:variant>
        <vt:lpwstr>https://www.sps.nhs.uk/prescribing-outlook-2019/</vt:lpwstr>
      </vt:variant>
      <vt:variant>
        <vt:lpwstr/>
      </vt:variant>
      <vt:variant>
        <vt:i4>7405691</vt:i4>
      </vt:variant>
      <vt:variant>
        <vt:i4>3</vt:i4>
      </vt:variant>
      <vt:variant>
        <vt:i4>0</vt:i4>
      </vt:variant>
      <vt:variant>
        <vt:i4>5</vt:i4>
      </vt:variant>
      <vt:variant>
        <vt:lpwstr>https://www.sps.nhs.uk/category/new-medicines/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NDO home | Contact | Register for NDO access</dc:title>
  <dc:creator>McEntee Joanne (RQ6) RLBUHT</dc:creator>
  <cp:lastModifiedBy>Joanne McEntee</cp:lastModifiedBy>
  <cp:revision>84</cp:revision>
  <cp:lastPrinted>2019-12-09T12:59:00Z</cp:lastPrinted>
  <dcterms:created xsi:type="dcterms:W3CDTF">2024-05-10T05:46:00Z</dcterms:created>
  <dcterms:modified xsi:type="dcterms:W3CDTF">2024-06-06T14:59:00Z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