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4E6F" w14:textId="77777777" w:rsidR="00F42318" w:rsidRDefault="00F42318">
      <w:pPr>
        <w:pStyle w:val="BodyText"/>
        <w:spacing w:before="98"/>
        <w:ind w:left="0"/>
        <w:rPr>
          <w:rFonts w:ascii="Times New Roman"/>
          <w:sz w:val="20"/>
        </w:rPr>
      </w:pPr>
    </w:p>
    <w:p w14:paraId="30A0A19C" w14:textId="77777777" w:rsidR="00F42318" w:rsidRDefault="004154A3">
      <w:pPr>
        <w:pStyle w:val="BodyText"/>
        <w:spacing w:before="0"/>
        <w:ind w:left="97"/>
        <w:rPr>
          <w:rFonts w:ascii="Times New Roman"/>
          <w:sz w:val="20"/>
        </w:rPr>
      </w:pPr>
      <w:r>
        <w:rPr>
          <w:rFonts w:ascii="Times New Roman"/>
          <w:noProof/>
          <w:sz w:val="20"/>
        </w:rPr>
        <mc:AlternateContent>
          <mc:Choice Requires="wps">
            <w:drawing>
              <wp:inline distT="0" distB="0" distL="0" distR="0" wp14:anchorId="5587B23B" wp14:editId="51CD5BF2">
                <wp:extent cx="5734050" cy="642620"/>
                <wp:effectExtent l="9525" t="0" r="0" b="5079"/>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642620"/>
                        </a:xfrm>
                        <a:prstGeom prst="rect">
                          <a:avLst/>
                        </a:prstGeom>
                        <a:solidFill>
                          <a:srgbClr val="FFFF00"/>
                        </a:solidFill>
                        <a:ln w="9525">
                          <a:solidFill>
                            <a:srgbClr val="000000"/>
                          </a:solidFill>
                          <a:prstDash val="solid"/>
                        </a:ln>
                      </wps:spPr>
                      <wps:txbx>
                        <w:txbxContent>
                          <w:p w14:paraId="6794E74E" w14:textId="20619021" w:rsidR="00F42318" w:rsidRDefault="00003761">
                            <w:pPr>
                              <w:spacing w:before="66"/>
                              <w:ind w:left="2703" w:right="1830" w:firstLine="108"/>
                              <w:rPr>
                                <w:color w:val="000000"/>
                                <w:sz w:val="32"/>
                              </w:rPr>
                            </w:pPr>
                            <w:r>
                              <w:rPr>
                                <w:color w:val="000000"/>
                                <w:sz w:val="32"/>
                              </w:rPr>
                              <w:t>Tocilizumab</w:t>
                            </w:r>
                            <w:r w:rsidR="004154A3">
                              <w:rPr>
                                <w:color w:val="000000"/>
                                <w:sz w:val="32"/>
                              </w:rPr>
                              <w:t xml:space="preserve"> biosimilar: </w:t>
                            </w:r>
                            <w:r>
                              <w:rPr>
                                <w:color w:val="000000"/>
                                <w:sz w:val="32"/>
                              </w:rPr>
                              <w:t xml:space="preserve"> </w:t>
                            </w:r>
                            <w:r w:rsidR="004154A3">
                              <w:rPr>
                                <w:color w:val="000000"/>
                                <w:sz w:val="32"/>
                              </w:rPr>
                              <w:t>Patient</w:t>
                            </w:r>
                            <w:r w:rsidR="004154A3">
                              <w:rPr>
                                <w:color w:val="000000"/>
                                <w:spacing w:val="-21"/>
                                <w:sz w:val="32"/>
                              </w:rPr>
                              <w:t xml:space="preserve"> </w:t>
                            </w:r>
                            <w:r w:rsidR="004154A3">
                              <w:rPr>
                                <w:color w:val="000000"/>
                                <w:sz w:val="32"/>
                              </w:rPr>
                              <w:t>Information</w:t>
                            </w:r>
                            <w:r w:rsidR="004154A3">
                              <w:rPr>
                                <w:color w:val="000000"/>
                                <w:spacing w:val="-21"/>
                                <w:sz w:val="32"/>
                              </w:rPr>
                              <w:t xml:space="preserve"> </w:t>
                            </w:r>
                            <w:r w:rsidR="004154A3">
                              <w:rPr>
                                <w:color w:val="000000"/>
                                <w:sz w:val="32"/>
                              </w:rPr>
                              <w:t>Sheet</w:t>
                            </w:r>
                          </w:p>
                        </w:txbxContent>
                      </wps:txbx>
                      <wps:bodyPr wrap="square" lIns="0" tIns="0" rIns="0" bIns="0" rtlCol="0">
                        <a:noAutofit/>
                      </wps:bodyPr>
                    </wps:wsp>
                  </a:graphicData>
                </a:graphic>
              </wp:inline>
            </w:drawing>
          </mc:Choice>
          <mc:Fallback>
            <w:pict>
              <v:shapetype w14:anchorId="5587B23B" id="_x0000_t202" coordsize="21600,21600" o:spt="202" path="m,l,21600r21600,l21600,xe">
                <v:stroke joinstyle="miter"/>
                <v:path gradientshapeok="t" o:connecttype="rect"/>
              </v:shapetype>
              <v:shape id="Textbox 5" o:spid="_x0000_s1026" type="#_x0000_t202" style="width:451.5pt;height: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" fillcolor="yellow">
                <v:path arrowok="t"/>
                <v:textbox inset="0,0,0,0">
                  <w:txbxContent>
                    <w:p w14:paraId="6794E74E" w14:textId="20619021" w:rsidR="00F42318" w:rsidRDefault="00003761">
                      <w:pPr>
                        <w:spacing w:before="66"/>
                        <w:ind w:left="2703" w:right="1830" w:firstLine="108"/>
                        <w:rPr>
                          <w:color w:val="000000"/>
                          <w:sz w:val="32"/>
                        </w:rPr>
                      </w:pPr>
                      <w:r>
                        <w:rPr>
                          <w:color w:val="000000"/>
                          <w:sz w:val="32"/>
                        </w:rPr>
                        <w:t>Tocilizumab</w:t>
                      </w:r>
                      <w:r w:rsidR="004154A3">
                        <w:rPr>
                          <w:color w:val="000000"/>
                          <w:sz w:val="32"/>
                        </w:rPr>
                        <w:t xml:space="preserve"> biosimilar: </w:t>
                      </w:r>
                      <w:r>
                        <w:rPr>
                          <w:color w:val="000000"/>
                          <w:sz w:val="32"/>
                        </w:rPr>
                        <w:t xml:space="preserve"> </w:t>
                      </w:r>
                      <w:r w:rsidR="004154A3">
                        <w:rPr>
                          <w:color w:val="000000"/>
                          <w:sz w:val="32"/>
                        </w:rPr>
                        <w:t>Patient</w:t>
                      </w:r>
                      <w:r w:rsidR="004154A3">
                        <w:rPr>
                          <w:color w:val="000000"/>
                          <w:spacing w:val="-21"/>
                          <w:sz w:val="32"/>
                        </w:rPr>
                        <w:t xml:space="preserve"> </w:t>
                      </w:r>
                      <w:r w:rsidR="004154A3">
                        <w:rPr>
                          <w:color w:val="000000"/>
                          <w:sz w:val="32"/>
                        </w:rPr>
                        <w:t>Information</w:t>
                      </w:r>
                      <w:r w:rsidR="004154A3">
                        <w:rPr>
                          <w:color w:val="000000"/>
                          <w:spacing w:val="-21"/>
                          <w:sz w:val="32"/>
                        </w:rPr>
                        <w:t xml:space="preserve"> </w:t>
                      </w:r>
                      <w:r w:rsidR="004154A3">
                        <w:rPr>
                          <w:color w:val="000000"/>
                          <w:sz w:val="32"/>
                        </w:rPr>
                        <w:t>Sheet</w:t>
                      </w:r>
                    </w:p>
                  </w:txbxContent>
                </v:textbox>
                <w10:anchorlock/>
              </v:shape>
            </w:pict>
          </mc:Fallback>
        </mc:AlternateContent>
      </w:r>
    </w:p>
    <w:p w14:paraId="1D64BABC" w14:textId="77777777" w:rsidR="00F42318" w:rsidRDefault="00F42318">
      <w:pPr>
        <w:pStyle w:val="BodyText"/>
        <w:spacing w:before="24"/>
        <w:ind w:left="0"/>
        <w:rPr>
          <w:rFonts w:ascii="Times New Roman"/>
          <w:sz w:val="32"/>
        </w:rPr>
      </w:pPr>
    </w:p>
    <w:p w14:paraId="74B7930B" w14:textId="77777777" w:rsidR="001739AD" w:rsidRDefault="001739AD" w:rsidP="001739AD">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What is tocilizumab?</w:t>
      </w:r>
      <w:r>
        <w:rPr>
          <w:rStyle w:val="eop"/>
          <w:rFonts w:eastAsia="Arial"/>
          <w:b/>
          <w:bCs/>
          <w:sz w:val="32"/>
          <w:szCs w:val="32"/>
        </w:rPr>
        <w:t> </w:t>
      </w:r>
    </w:p>
    <w:p w14:paraId="4190F5D2" w14:textId="77777777" w:rsidR="001739AD" w:rsidRDefault="001739AD" w:rsidP="001739AD">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Tocilizumab is a medicine used to treat inflammatory conditions such as: rheumatoid arthritis, COVID-19 and giant cell arteritis.</w:t>
      </w:r>
      <w:r>
        <w:rPr>
          <w:rStyle w:val="eop"/>
          <w:rFonts w:eastAsia="Arial"/>
          <w:sz w:val="28"/>
          <w:szCs w:val="28"/>
        </w:rPr>
        <w:t> </w:t>
      </w:r>
    </w:p>
    <w:p w14:paraId="7133579F" w14:textId="77777777" w:rsidR="001739AD" w:rsidRDefault="001739AD" w:rsidP="001739AD">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It belongs to a group of medicines called monoclonal antibodies and is administered either intravenously or subcutaneously.</w:t>
      </w:r>
    </w:p>
    <w:p w14:paraId="0B4DA1E2" w14:textId="77777777" w:rsidR="008451FC" w:rsidRDefault="008451FC" w:rsidP="008451FC">
      <w:pPr>
        <w:pStyle w:val="BodyText"/>
        <w:ind w:right="469"/>
      </w:pPr>
    </w:p>
    <w:p w14:paraId="439E9FF6" w14:textId="77777777" w:rsidR="00A5437A" w:rsidRDefault="00A5437A" w:rsidP="00A5437A">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b/>
          <w:bCs/>
          <w:sz w:val="32"/>
          <w:szCs w:val="32"/>
          <w:lang w:val="en-US"/>
        </w:rPr>
        <w:t>How does tocilizumab work?</w:t>
      </w:r>
      <w:r>
        <w:rPr>
          <w:rStyle w:val="eop"/>
          <w:rFonts w:eastAsia="Arial"/>
          <w:sz w:val="32"/>
          <w:szCs w:val="32"/>
        </w:rPr>
        <w:t> </w:t>
      </w:r>
    </w:p>
    <w:p w14:paraId="376B836C" w14:textId="77777777" w:rsidR="00A5437A" w:rsidRDefault="00A5437A" w:rsidP="00A5437A">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Tocilizumab blocks the action of a specific protein </w:t>
      </w:r>
      <w:r>
        <w:rPr>
          <w:rStyle w:val="eop"/>
          <w:rFonts w:eastAsia="Arial"/>
          <w:sz w:val="28"/>
          <w:szCs w:val="28"/>
        </w:rPr>
        <w:t> </w:t>
      </w:r>
    </w:p>
    <w:p w14:paraId="329DA505" w14:textId="77777777" w:rsidR="00A5437A" w:rsidRDefault="00A5437A" w:rsidP="00A5437A">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called interleukin-6. Interleukin-6 is found in high levels in patients with inflammatory conditions such as rheumatoid arthritis. Blocking the action of Interleukin-6 can reduce inflammation and other symptoms of these conditions such as pain.</w:t>
      </w:r>
      <w:r>
        <w:rPr>
          <w:rStyle w:val="eop"/>
          <w:rFonts w:eastAsia="Arial"/>
          <w:sz w:val="28"/>
          <w:szCs w:val="28"/>
        </w:rPr>
        <w:t> </w:t>
      </w:r>
    </w:p>
    <w:p w14:paraId="474EAAAE" w14:textId="77777777" w:rsidR="00193103" w:rsidRPr="0015173E" w:rsidRDefault="00193103" w:rsidP="0015173E">
      <w:pPr>
        <w:pStyle w:val="BodyText"/>
        <w:ind w:right="469"/>
        <w:rPr>
          <w:szCs w:val="32"/>
        </w:rPr>
      </w:pPr>
    </w:p>
    <w:p w14:paraId="2FC28E60" w14:textId="77777777" w:rsidR="00B177B4" w:rsidRDefault="00B177B4" w:rsidP="00B177B4">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How is tocilizumab made</w:t>
      </w:r>
      <w:r>
        <w:rPr>
          <w:rStyle w:val="normaltextrun"/>
          <w:rFonts w:ascii="Arial" w:hAnsi="Arial" w:cs="Arial"/>
          <w:sz w:val="32"/>
          <w:szCs w:val="32"/>
          <w:lang w:val="en-US"/>
        </w:rPr>
        <w:t>?</w:t>
      </w:r>
      <w:r>
        <w:rPr>
          <w:rStyle w:val="eop"/>
          <w:rFonts w:eastAsia="Arial"/>
          <w:b/>
          <w:bCs/>
          <w:sz w:val="32"/>
          <w:szCs w:val="32"/>
        </w:rPr>
        <w:t> </w:t>
      </w:r>
    </w:p>
    <w:p w14:paraId="07AC5A76" w14:textId="77777777" w:rsidR="00B177B4" w:rsidRDefault="00B177B4" w:rsidP="00B177B4">
      <w:pPr>
        <w:pStyle w:val="paragraph"/>
        <w:spacing w:before="0" w:beforeAutospacing="0" w:after="0" w:afterAutospacing="0"/>
        <w:ind w:left="480" w:right="510"/>
        <w:textAlignment w:val="baseline"/>
        <w:rPr>
          <w:rStyle w:val="normaltextrun"/>
          <w:rFonts w:ascii="Arial" w:hAnsi="Arial" w:cs="Arial"/>
          <w:sz w:val="28"/>
          <w:szCs w:val="28"/>
          <w:lang w:val="en-US"/>
        </w:rPr>
      </w:pPr>
      <w:r>
        <w:rPr>
          <w:rStyle w:val="normaltextrun"/>
          <w:rFonts w:ascii="Arial" w:hAnsi="Arial" w:cs="Arial"/>
          <w:sz w:val="28"/>
          <w:szCs w:val="28"/>
          <w:lang w:val="en-US"/>
        </w:rPr>
        <w:t>Tocilizumab is a biological medicine. Biological medicines are medicines made or derived from living cells. Biological medicines were first used to treat people with serious illnesses in the UK over 20 years ago and they have improved the lives of millions of people worldwide.</w:t>
      </w:r>
    </w:p>
    <w:p w14:paraId="4210F6C1" w14:textId="3467A832" w:rsidR="00B177B4" w:rsidRPr="00B177B4" w:rsidRDefault="00B177B4" w:rsidP="00B177B4">
      <w:pPr>
        <w:pStyle w:val="paragraph"/>
        <w:spacing w:before="0" w:beforeAutospacing="0" w:after="0" w:afterAutospacing="0"/>
        <w:ind w:left="480" w:right="510"/>
        <w:textAlignment w:val="baseline"/>
        <w:rPr>
          <w:rFonts w:ascii="Segoe UI" w:hAnsi="Segoe UI" w:cs="Segoe UI"/>
          <w:sz w:val="18"/>
          <w:szCs w:val="18"/>
        </w:rPr>
      </w:pPr>
      <w:r>
        <w:rPr>
          <w:rStyle w:val="eop"/>
          <w:rFonts w:eastAsia="Arial"/>
          <w:sz w:val="28"/>
          <w:szCs w:val="28"/>
        </w:rPr>
        <w:t> </w:t>
      </w:r>
    </w:p>
    <w:p w14:paraId="5D129DC9" w14:textId="77777777" w:rsidR="00B177B4" w:rsidRDefault="00B177B4" w:rsidP="00B177B4">
      <w:pPr>
        <w:pStyle w:val="paragraph"/>
        <w:spacing w:before="0" w:beforeAutospacing="0" w:after="0" w:afterAutospacing="0"/>
        <w:ind w:left="480" w:right="705"/>
        <w:textAlignment w:val="baseline"/>
        <w:rPr>
          <w:rFonts w:ascii="Segoe UI" w:hAnsi="Segoe UI" w:cs="Segoe UI"/>
          <w:b/>
          <w:bCs/>
          <w:sz w:val="18"/>
          <w:szCs w:val="18"/>
        </w:rPr>
      </w:pPr>
      <w:r>
        <w:rPr>
          <w:rStyle w:val="normaltextrun"/>
          <w:rFonts w:ascii="Arial" w:hAnsi="Arial" w:cs="Arial"/>
          <w:b/>
          <w:bCs/>
          <w:sz w:val="32"/>
          <w:szCs w:val="32"/>
          <w:lang w:val="en-US"/>
        </w:rPr>
        <w:t>What versions of tocilizumab are available in the UK?</w:t>
      </w:r>
      <w:r>
        <w:rPr>
          <w:rStyle w:val="eop"/>
          <w:rFonts w:eastAsia="Arial"/>
          <w:b/>
          <w:bCs/>
          <w:sz w:val="32"/>
          <w:szCs w:val="32"/>
        </w:rPr>
        <w:t> </w:t>
      </w:r>
    </w:p>
    <w:p w14:paraId="6C2A5EAE" w14:textId="604FB4B0" w:rsidR="00B177B4" w:rsidRPr="00B177B4" w:rsidRDefault="00B177B4" w:rsidP="00B177B4">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Until recently, only one pharmaceutical company made tocilizumab. Now another company make a biosimilar tocilizumab.</w:t>
      </w:r>
      <w:r>
        <w:rPr>
          <w:rStyle w:val="eop"/>
          <w:rFonts w:eastAsia="Arial"/>
          <w:sz w:val="28"/>
          <w:szCs w:val="28"/>
        </w:rPr>
        <w:t> </w:t>
      </w:r>
    </w:p>
    <w:p w14:paraId="443DCCEF" w14:textId="77777777" w:rsidR="00F92172" w:rsidRDefault="00F92172"/>
    <w:p w14:paraId="7A21B2E0" w14:textId="77777777" w:rsidR="00F92172" w:rsidRDefault="00F92172" w:rsidP="00F92172">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What is biosimilar tocilizumab</w:t>
      </w:r>
      <w:r>
        <w:rPr>
          <w:rStyle w:val="normaltextrun"/>
          <w:rFonts w:ascii="Arial" w:hAnsi="Arial" w:cs="Arial"/>
          <w:sz w:val="32"/>
          <w:szCs w:val="32"/>
          <w:lang w:val="en-US"/>
        </w:rPr>
        <w:t>?</w:t>
      </w:r>
      <w:r>
        <w:rPr>
          <w:rStyle w:val="eop"/>
          <w:rFonts w:eastAsia="Arial"/>
          <w:b/>
          <w:bCs/>
          <w:sz w:val="32"/>
          <w:szCs w:val="32"/>
        </w:rPr>
        <w:t> </w:t>
      </w:r>
    </w:p>
    <w:p w14:paraId="79D82E9D" w14:textId="52331508" w:rsidR="00F92172" w:rsidRDefault="00F92172" w:rsidP="00F92172">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 xml:space="preserve">Biosimilar tocilizumab is a highly similar copy of the original </w:t>
      </w:r>
      <w:r w:rsidR="00132CF1">
        <w:rPr>
          <w:rStyle w:val="normaltextrun"/>
          <w:rFonts w:ascii="Arial" w:hAnsi="Arial" w:cs="Arial"/>
          <w:sz w:val="28"/>
          <w:szCs w:val="28"/>
          <w:lang w:val="en-US"/>
        </w:rPr>
        <w:t>tocilizumab</w:t>
      </w:r>
      <w:r>
        <w:rPr>
          <w:rStyle w:val="normaltextrun"/>
          <w:rFonts w:ascii="Arial" w:hAnsi="Arial" w:cs="Arial"/>
          <w:sz w:val="28"/>
          <w:szCs w:val="28"/>
          <w:lang w:val="en-US"/>
        </w:rPr>
        <w:t xml:space="preserve"> medicine. The World Health Organisation (WHO) defines a biosimilar as a medicine that is similar in terms of quality, safety and effectiveness to the original licensed product.</w:t>
      </w:r>
      <w:r>
        <w:rPr>
          <w:rStyle w:val="eop"/>
          <w:rFonts w:eastAsia="Arial"/>
          <w:sz w:val="28"/>
          <w:szCs w:val="28"/>
        </w:rPr>
        <w:t> </w:t>
      </w:r>
    </w:p>
    <w:p w14:paraId="5C15BA66" w14:textId="33BF12B7" w:rsidR="00193103" w:rsidRDefault="00193103">
      <w:pPr>
        <w:rPr>
          <w:b/>
          <w:bCs/>
          <w:sz w:val="32"/>
          <w:szCs w:val="32"/>
        </w:rPr>
      </w:pPr>
      <w:r>
        <w:br w:type="page"/>
      </w:r>
    </w:p>
    <w:p w14:paraId="489CC78D" w14:textId="77777777" w:rsidR="00F42318" w:rsidRDefault="004154A3">
      <w:pPr>
        <w:pStyle w:val="Heading1"/>
      </w:pPr>
      <w:r>
        <w:lastRenderedPageBreak/>
        <w:t>Are</w:t>
      </w:r>
      <w:r>
        <w:rPr>
          <w:spacing w:val="-14"/>
        </w:rPr>
        <w:t xml:space="preserve"> </w:t>
      </w:r>
      <w:r>
        <w:t>biosimilars</w:t>
      </w:r>
      <w:r>
        <w:rPr>
          <w:spacing w:val="-14"/>
        </w:rPr>
        <w:t xml:space="preserve"> </w:t>
      </w:r>
      <w:r>
        <w:rPr>
          <w:spacing w:val="-2"/>
        </w:rPr>
        <w:t>safe?</w:t>
      </w:r>
    </w:p>
    <w:p w14:paraId="41A046A9" w14:textId="7F6D2976" w:rsidR="00F42318" w:rsidRDefault="004154A3">
      <w:pPr>
        <w:pStyle w:val="BodyText"/>
        <w:tabs>
          <w:tab w:val="left" w:pos="6831"/>
        </w:tabs>
        <w:ind w:right="711"/>
      </w:pPr>
      <w:r>
        <w:t>The</w:t>
      </w:r>
      <w:r>
        <w:rPr>
          <w:spacing w:val="-3"/>
        </w:rPr>
        <w:t xml:space="preserve"> </w:t>
      </w:r>
      <w:r>
        <w:t>body</w:t>
      </w:r>
      <w:r>
        <w:rPr>
          <w:spacing w:val="-6"/>
        </w:rPr>
        <w:t xml:space="preserve"> </w:t>
      </w:r>
      <w:r>
        <w:t>in</w:t>
      </w:r>
      <w:r>
        <w:rPr>
          <w:spacing w:val="-2"/>
        </w:rPr>
        <w:t xml:space="preserve"> </w:t>
      </w:r>
      <w:r>
        <w:t>the</w:t>
      </w:r>
      <w:r>
        <w:rPr>
          <w:spacing w:val="-3"/>
        </w:rPr>
        <w:t xml:space="preserve"> </w:t>
      </w:r>
      <w:r>
        <w:t>UK</w:t>
      </w:r>
      <w:r>
        <w:rPr>
          <w:spacing w:val="-5"/>
        </w:rPr>
        <w:t xml:space="preserve"> </w:t>
      </w:r>
      <w:r>
        <w:t>who</w:t>
      </w:r>
      <w:r>
        <w:rPr>
          <w:spacing w:val="-3"/>
        </w:rPr>
        <w:t xml:space="preserve"> </w:t>
      </w:r>
      <w:r>
        <w:t>regulate</w:t>
      </w:r>
      <w:r>
        <w:rPr>
          <w:spacing w:val="-4"/>
        </w:rPr>
        <w:t xml:space="preserve"> </w:t>
      </w:r>
      <w:r>
        <w:t>medicines</w:t>
      </w:r>
      <w:r>
        <w:rPr>
          <w:spacing w:val="-2"/>
        </w:rPr>
        <w:t xml:space="preserve"> </w:t>
      </w:r>
      <w:r>
        <w:t>is</w:t>
      </w:r>
      <w:r>
        <w:rPr>
          <w:spacing w:val="-4"/>
        </w:rPr>
        <w:t xml:space="preserve"> </w:t>
      </w:r>
      <w:r>
        <w:t>the</w:t>
      </w:r>
      <w:r>
        <w:rPr>
          <w:spacing w:val="-5"/>
        </w:rPr>
        <w:t xml:space="preserve"> </w:t>
      </w:r>
      <w:r>
        <w:t>Medicines</w:t>
      </w:r>
      <w:r>
        <w:rPr>
          <w:spacing w:val="-2"/>
        </w:rPr>
        <w:t xml:space="preserve"> </w:t>
      </w:r>
      <w:r>
        <w:t>and Healthcare products Regulatory Agency (MHRA).</w:t>
      </w:r>
      <w:r w:rsidR="00EB67CC">
        <w:t xml:space="preserve"> </w:t>
      </w:r>
      <w:r>
        <w:t>All medicines have to pass rigorous tests for quality, biological activity, safety and effectiveness.</w:t>
      </w:r>
      <w:r>
        <w:rPr>
          <w:spacing w:val="40"/>
        </w:rPr>
        <w:t xml:space="preserve"> </w:t>
      </w:r>
      <w:r>
        <w:t>Biosimilar medicines pass the same tests as the original medicine.</w:t>
      </w:r>
    </w:p>
    <w:p w14:paraId="184CF497" w14:textId="77777777" w:rsidR="001B212F" w:rsidRDefault="001B212F">
      <w:pPr>
        <w:pStyle w:val="BodyText"/>
        <w:tabs>
          <w:tab w:val="left" w:pos="6831"/>
        </w:tabs>
        <w:ind w:right="711"/>
      </w:pPr>
    </w:p>
    <w:p w14:paraId="6870B233" w14:textId="77777777" w:rsidR="001B212F" w:rsidRDefault="001B212F" w:rsidP="001B212F">
      <w:pPr>
        <w:pStyle w:val="paragraph"/>
        <w:spacing w:before="0" w:beforeAutospacing="0" w:after="0" w:afterAutospacing="0"/>
        <w:ind w:left="480" w:right="555"/>
        <w:textAlignment w:val="baseline"/>
        <w:rPr>
          <w:rFonts w:ascii="Segoe UI" w:hAnsi="Segoe UI" w:cs="Segoe UI"/>
          <w:b/>
          <w:bCs/>
          <w:sz w:val="18"/>
          <w:szCs w:val="18"/>
        </w:rPr>
      </w:pPr>
      <w:r>
        <w:rPr>
          <w:rStyle w:val="normaltextrun"/>
          <w:rFonts w:ascii="Arial" w:hAnsi="Arial" w:cs="Arial"/>
          <w:b/>
          <w:bCs/>
          <w:sz w:val="32"/>
          <w:szCs w:val="32"/>
          <w:lang w:val="en-US"/>
        </w:rPr>
        <w:t>What does treatment with biosimilar tocilizumab mean for you?</w:t>
      </w:r>
      <w:r>
        <w:rPr>
          <w:rStyle w:val="eop"/>
          <w:rFonts w:eastAsia="Arial"/>
          <w:b/>
          <w:bCs/>
          <w:sz w:val="32"/>
          <w:szCs w:val="32"/>
        </w:rPr>
        <w:t> </w:t>
      </w:r>
    </w:p>
    <w:p w14:paraId="46714E0E" w14:textId="77777777" w:rsidR="001B212F" w:rsidRDefault="001B212F" w:rsidP="001B212F">
      <w:pPr>
        <w:pStyle w:val="paragraph"/>
        <w:spacing w:before="0" w:beforeAutospacing="0" w:after="0" w:afterAutospacing="0"/>
        <w:ind w:left="480" w:right="465"/>
        <w:textAlignment w:val="baseline"/>
        <w:rPr>
          <w:rStyle w:val="eop"/>
          <w:rFonts w:eastAsia="Arial"/>
          <w:sz w:val="28"/>
          <w:szCs w:val="28"/>
        </w:rPr>
      </w:pPr>
      <w:r>
        <w:rPr>
          <w:rStyle w:val="normaltextrun"/>
          <w:rFonts w:ascii="Arial" w:hAnsi="Arial" w:cs="Arial"/>
          <w:sz w:val="28"/>
          <w:szCs w:val="28"/>
          <w:lang w:val="en-US"/>
        </w:rPr>
        <w:t>Whether you are due to start treatment with tocilizumab for the first time or have agreed with your clinician that your treatment will change from RoActemra® to biosimilar tocilizumab (Tyenne</w:t>
      </w:r>
      <w:r>
        <w:rPr>
          <w:rStyle w:val="normaltextrun"/>
          <w:rFonts w:ascii="Arial" w:hAnsi="Arial" w:cs="Arial"/>
          <w:sz w:val="22"/>
          <w:szCs w:val="22"/>
          <w:vertAlign w:val="superscript"/>
          <w:lang w:val="en-US"/>
        </w:rPr>
        <w:t>®</w:t>
      </w:r>
      <w:r>
        <w:rPr>
          <w:rStyle w:val="normaltextrun"/>
          <w:rFonts w:ascii="Arial" w:hAnsi="Arial" w:cs="Arial"/>
          <w:sz w:val="28"/>
          <w:szCs w:val="28"/>
          <w:lang w:val="en-US"/>
        </w:rPr>
        <w:t>), you can expect the same results.</w:t>
      </w:r>
      <w:r>
        <w:rPr>
          <w:rStyle w:val="eop"/>
          <w:rFonts w:eastAsia="Arial"/>
          <w:sz w:val="28"/>
          <w:szCs w:val="28"/>
        </w:rPr>
        <w:t> </w:t>
      </w:r>
    </w:p>
    <w:p w14:paraId="4DA8B82D" w14:textId="77777777" w:rsidR="001B212F" w:rsidRDefault="001B212F" w:rsidP="001B212F">
      <w:pPr>
        <w:pStyle w:val="paragraph"/>
        <w:spacing w:before="0" w:beforeAutospacing="0" w:after="0" w:afterAutospacing="0"/>
        <w:ind w:left="480" w:right="465"/>
        <w:textAlignment w:val="baseline"/>
        <w:rPr>
          <w:rFonts w:ascii="Segoe UI" w:hAnsi="Segoe UI" w:cs="Segoe UI"/>
          <w:sz w:val="18"/>
          <w:szCs w:val="18"/>
        </w:rPr>
      </w:pPr>
    </w:p>
    <w:p w14:paraId="03CC4EC6" w14:textId="77777777" w:rsidR="001B212F" w:rsidRDefault="001B212F" w:rsidP="001B212F">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The National Institute for Health and Care Excellence (NICE) produces guidance for healthcare. If NICE recommends the original biological medicine in their guidance, the same recommendation applies to the biosimilar medicines.</w:t>
      </w:r>
      <w:r>
        <w:rPr>
          <w:rStyle w:val="eop"/>
          <w:rFonts w:eastAsia="Arial"/>
          <w:sz w:val="28"/>
          <w:szCs w:val="28"/>
        </w:rPr>
        <w:t> </w:t>
      </w:r>
    </w:p>
    <w:p w14:paraId="4FF6B3AE" w14:textId="77777777" w:rsidR="001B212F" w:rsidRDefault="001B212F" w:rsidP="001B212F">
      <w:pPr>
        <w:pStyle w:val="paragraph"/>
        <w:spacing w:before="0" w:beforeAutospacing="0" w:after="0" w:afterAutospacing="0"/>
        <w:ind w:left="480" w:right="465"/>
        <w:textAlignment w:val="baseline"/>
        <w:rPr>
          <w:rFonts w:ascii="Segoe UI" w:hAnsi="Segoe UI" w:cs="Segoe UI"/>
          <w:sz w:val="18"/>
          <w:szCs w:val="18"/>
        </w:rPr>
      </w:pPr>
      <w:r>
        <w:rPr>
          <w:rStyle w:val="eop"/>
          <w:rFonts w:eastAsia="Arial"/>
          <w:sz w:val="28"/>
          <w:szCs w:val="28"/>
        </w:rPr>
        <w:t> </w:t>
      </w:r>
    </w:p>
    <w:p w14:paraId="255E4D68" w14:textId="69B41A5F" w:rsidR="001B212F" w:rsidRPr="00031B88" w:rsidRDefault="001B212F" w:rsidP="00031B88">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All versions of tocilizumab can cause similar side effects. If you experience any problems with your treatment, report it promptly to your treating clinician, nurse or pharmacist.</w:t>
      </w:r>
      <w:r>
        <w:rPr>
          <w:rStyle w:val="eop"/>
          <w:rFonts w:eastAsia="Arial"/>
          <w:sz w:val="28"/>
          <w:szCs w:val="28"/>
        </w:rPr>
        <w:t> </w:t>
      </w:r>
    </w:p>
    <w:p w14:paraId="4C5FC0EA" w14:textId="77777777" w:rsidR="00F42318" w:rsidRDefault="004154A3">
      <w:pPr>
        <w:pStyle w:val="Heading1"/>
      </w:pPr>
      <w:r>
        <w:t>What</w:t>
      </w:r>
      <w:r>
        <w:rPr>
          <w:spacing w:val="-10"/>
        </w:rPr>
        <w:t xml:space="preserve"> </w:t>
      </w:r>
      <w:r>
        <w:t>are</w:t>
      </w:r>
      <w:r>
        <w:rPr>
          <w:spacing w:val="-5"/>
        </w:rPr>
        <w:t xml:space="preserve"> </w:t>
      </w:r>
      <w:r>
        <w:t>the</w:t>
      </w:r>
      <w:r>
        <w:rPr>
          <w:spacing w:val="-6"/>
        </w:rPr>
        <w:t xml:space="preserve"> </w:t>
      </w:r>
      <w:r>
        <w:t>benefits</w:t>
      </w:r>
      <w:r>
        <w:rPr>
          <w:spacing w:val="-8"/>
        </w:rPr>
        <w:t xml:space="preserve"> </w:t>
      </w:r>
      <w:r>
        <w:t>of</w:t>
      </w:r>
      <w:r>
        <w:rPr>
          <w:spacing w:val="-8"/>
        </w:rPr>
        <w:t xml:space="preserve"> </w:t>
      </w:r>
      <w:r>
        <w:rPr>
          <w:spacing w:val="-2"/>
        </w:rPr>
        <w:t>biosimilars?</w:t>
      </w:r>
    </w:p>
    <w:p w14:paraId="1078ADFF" w14:textId="77777777" w:rsidR="00F42318" w:rsidRDefault="004154A3">
      <w:pPr>
        <w:pStyle w:val="BodyText"/>
        <w:ind w:right="469"/>
      </w:pPr>
      <w:r>
        <w:t>Many</w:t>
      </w:r>
      <w:r>
        <w:rPr>
          <w:spacing w:val="-4"/>
        </w:rPr>
        <w:t xml:space="preserve"> </w:t>
      </w:r>
      <w:r>
        <w:t>original</w:t>
      </w:r>
      <w:r>
        <w:rPr>
          <w:spacing w:val="-1"/>
        </w:rPr>
        <w:t xml:space="preserve"> </w:t>
      </w:r>
      <w:r>
        <w:t>biological</w:t>
      </w:r>
      <w:r>
        <w:rPr>
          <w:spacing w:val="-3"/>
        </w:rPr>
        <w:t xml:space="preserve"> </w:t>
      </w:r>
      <w:r>
        <w:t>medicines</w:t>
      </w:r>
      <w:r>
        <w:rPr>
          <w:spacing w:val="-2"/>
        </w:rPr>
        <w:t xml:space="preserve"> </w:t>
      </w:r>
      <w:r>
        <w:t>are</w:t>
      </w:r>
      <w:r>
        <w:rPr>
          <w:spacing w:val="-3"/>
        </w:rPr>
        <w:t xml:space="preserve"> </w:t>
      </w:r>
      <w:r>
        <w:t>expensive and</w:t>
      </w:r>
      <w:r>
        <w:rPr>
          <w:spacing w:val="-1"/>
        </w:rPr>
        <w:t xml:space="preserve"> </w:t>
      </w:r>
      <w:r>
        <w:t>the</w:t>
      </w:r>
      <w:r>
        <w:rPr>
          <w:spacing w:val="-3"/>
        </w:rPr>
        <w:t xml:space="preserve"> </w:t>
      </w:r>
      <w:r>
        <w:t>number of conditions they treat is increasing.</w:t>
      </w:r>
      <w:r>
        <w:rPr>
          <w:spacing w:val="40"/>
        </w:rPr>
        <w:t xml:space="preserve"> </w:t>
      </w:r>
      <w:r>
        <w:t>Biosimilar medicines are highly</w:t>
      </w:r>
      <w:r>
        <w:rPr>
          <w:spacing w:val="-6"/>
        </w:rPr>
        <w:t xml:space="preserve"> </w:t>
      </w:r>
      <w:r>
        <w:t>similar</w:t>
      </w:r>
      <w:r>
        <w:rPr>
          <w:spacing w:val="-4"/>
        </w:rPr>
        <w:t xml:space="preserve"> </w:t>
      </w:r>
      <w:r>
        <w:t>to</w:t>
      </w:r>
      <w:r>
        <w:rPr>
          <w:spacing w:val="-5"/>
        </w:rPr>
        <w:t xml:space="preserve"> </w:t>
      </w:r>
      <w:r>
        <w:t>the</w:t>
      </w:r>
      <w:r>
        <w:rPr>
          <w:spacing w:val="-5"/>
        </w:rPr>
        <w:t xml:space="preserve"> </w:t>
      </w:r>
      <w:r>
        <w:t>original</w:t>
      </w:r>
      <w:r>
        <w:rPr>
          <w:spacing w:val="-5"/>
        </w:rPr>
        <w:t xml:space="preserve"> </w:t>
      </w:r>
      <w:r>
        <w:t>medicines</w:t>
      </w:r>
      <w:r>
        <w:rPr>
          <w:spacing w:val="-4"/>
        </w:rPr>
        <w:t xml:space="preserve"> </w:t>
      </w:r>
      <w:r>
        <w:t>and</w:t>
      </w:r>
      <w:r>
        <w:rPr>
          <w:spacing w:val="-3"/>
        </w:rPr>
        <w:t xml:space="preserve"> </w:t>
      </w:r>
      <w:r>
        <w:t>have</w:t>
      </w:r>
      <w:r>
        <w:rPr>
          <w:spacing w:val="-2"/>
        </w:rPr>
        <w:t xml:space="preserve"> </w:t>
      </w:r>
      <w:r>
        <w:t>the</w:t>
      </w:r>
      <w:r>
        <w:rPr>
          <w:spacing w:val="-7"/>
        </w:rPr>
        <w:t xml:space="preserve"> </w:t>
      </w:r>
      <w:r>
        <w:t>same</w:t>
      </w:r>
      <w:r>
        <w:rPr>
          <w:spacing w:val="-5"/>
        </w:rPr>
        <w:t xml:space="preserve"> </w:t>
      </w:r>
      <w:r>
        <w:t>quality, safety and effectiveness as well as being less expensive.</w:t>
      </w:r>
    </w:p>
    <w:p w14:paraId="00B7D314" w14:textId="77777777" w:rsidR="00193103" w:rsidRDefault="00193103">
      <w:pPr>
        <w:pStyle w:val="BodyText"/>
        <w:ind w:right="469"/>
      </w:pPr>
    </w:p>
    <w:p w14:paraId="272945AA" w14:textId="77777777" w:rsidR="00F42318" w:rsidRDefault="004154A3">
      <w:pPr>
        <w:pStyle w:val="BodyText"/>
        <w:ind w:right="469"/>
      </w:pPr>
      <w:r>
        <w:t>Therefore,</w:t>
      </w:r>
      <w:r>
        <w:rPr>
          <w:spacing w:val="-4"/>
        </w:rPr>
        <w:t xml:space="preserve"> </w:t>
      </w:r>
      <w:r>
        <w:t>the</w:t>
      </w:r>
      <w:r>
        <w:rPr>
          <w:spacing w:val="-5"/>
        </w:rPr>
        <w:t xml:space="preserve"> </w:t>
      </w:r>
      <w:r>
        <w:t>savings</w:t>
      </w:r>
      <w:r>
        <w:rPr>
          <w:spacing w:val="-2"/>
        </w:rPr>
        <w:t xml:space="preserve"> </w:t>
      </w:r>
      <w:r>
        <w:t>made</w:t>
      </w:r>
      <w:r>
        <w:rPr>
          <w:spacing w:val="-2"/>
        </w:rPr>
        <w:t xml:space="preserve"> </w:t>
      </w:r>
      <w:r>
        <w:t>by</w:t>
      </w:r>
      <w:r>
        <w:rPr>
          <w:spacing w:val="-6"/>
        </w:rPr>
        <w:t xml:space="preserve"> </w:t>
      </w:r>
      <w:r>
        <w:t>using</w:t>
      </w:r>
      <w:r>
        <w:rPr>
          <w:spacing w:val="-5"/>
        </w:rPr>
        <w:t xml:space="preserve"> </w:t>
      </w:r>
      <w:r>
        <w:t>biosimilars</w:t>
      </w:r>
      <w:r>
        <w:rPr>
          <w:spacing w:val="-4"/>
        </w:rPr>
        <w:t xml:space="preserve"> </w:t>
      </w:r>
      <w:r>
        <w:t>allow</w:t>
      </w:r>
      <w:r>
        <w:rPr>
          <w:spacing w:val="-6"/>
        </w:rPr>
        <w:t xml:space="preserve"> </w:t>
      </w:r>
      <w:r>
        <w:t>the</w:t>
      </w:r>
      <w:r>
        <w:rPr>
          <w:spacing w:val="-2"/>
        </w:rPr>
        <w:t xml:space="preserve"> </w:t>
      </w:r>
      <w:r>
        <w:t>NHS</w:t>
      </w:r>
      <w:r>
        <w:rPr>
          <w:spacing w:val="-5"/>
        </w:rPr>
        <w:t xml:space="preserve"> </w:t>
      </w:r>
      <w:r>
        <w:t>to treat more patients.</w:t>
      </w:r>
    </w:p>
    <w:p w14:paraId="559879DB" w14:textId="6B4FDD9C" w:rsidR="00F42318" w:rsidRDefault="00F42318" w:rsidP="00193103">
      <w:pPr>
        <w:pStyle w:val="BodyText"/>
        <w:spacing w:before="3"/>
        <w:ind w:right="569"/>
      </w:pPr>
    </w:p>
    <w:p w14:paraId="6B961133" w14:textId="77777777" w:rsidR="00DE122E" w:rsidRDefault="00DE122E" w:rsidP="00DE122E">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Further advice</w:t>
      </w:r>
      <w:r>
        <w:rPr>
          <w:rStyle w:val="eop"/>
          <w:rFonts w:eastAsia="Arial"/>
          <w:b/>
          <w:bCs/>
          <w:sz w:val="32"/>
          <w:szCs w:val="32"/>
        </w:rPr>
        <w:t> </w:t>
      </w:r>
    </w:p>
    <w:p w14:paraId="771ECC1B" w14:textId="77777777" w:rsidR="00DE122E" w:rsidRDefault="00DE122E" w:rsidP="00DE122E">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If you have further questions about tocilizumab or biosimilars, then please speak to a member of your specialist or pharmacy team.</w:t>
      </w:r>
      <w:r>
        <w:rPr>
          <w:rStyle w:val="eop"/>
          <w:rFonts w:eastAsia="Arial"/>
          <w:sz w:val="28"/>
          <w:szCs w:val="28"/>
        </w:rPr>
        <w:t> </w:t>
      </w:r>
    </w:p>
    <w:p w14:paraId="77E78F1A" w14:textId="77777777" w:rsidR="00DE122E" w:rsidRDefault="00DE122E" w:rsidP="00193103">
      <w:pPr>
        <w:pStyle w:val="BodyText"/>
        <w:spacing w:before="3"/>
        <w:ind w:right="569"/>
      </w:pPr>
    </w:p>
    <w:sectPr w:rsidR="00DE122E">
      <w:headerReference w:type="default" r:id="rId6"/>
      <w:footerReference w:type="default" r:id="rId7"/>
      <w:pgSz w:w="11900" w:h="16850"/>
      <w:pgMar w:top="1720" w:right="1340" w:bottom="840" w:left="1320" w:header="427"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01F8" w14:textId="77777777" w:rsidR="004C30D9" w:rsidRDefault="004C30D9">
      <w:r>
        <w:separator/>
      </w:r>
    </w:p>
  </w:endnote>
  <w:endnote w:type="continuationSeparator" w:id="0">
    <w:p w14:paraId="7A3C0B2D" w14:textId="77777777" w:rsidR="004C30D9" w:rsidRDefault="004C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252" w14:textId="77777777" w:rsidR="00F42318" w:rsidRDefault="004154A3">
    <w:pPr>
      <w:pStyle w:val="BodyText"/>
      <w:spacing w:before="0" w:line="14" w:lineRule="auto"/>
      <w:ind w:left="0"/>
      <w:rPr>
        <w:sz w:val="20"/>
      </w:rPr>
    </w:pPr>
    <w:r>
      <w:rPr>
        <w:noProof/>
      </w:rPr>
      <mc:AlternateContent>
        <mc:Choice Requires="wps">
          <w:drawing>
            <wp:anchor distT="0" distB="0" distL="0" distR="0" simplePos="0" relativeHeight="487545344" behindDoc="1" locked="0" layoutInCell="1" allowOverlap="1" wp14:anchorId="5C60500C" wp14:editId="75EBBC90">
              <wp:simplePos x="0" y="0"/>
              <wp:positionH relativeFrom="page">
                <wp:posOffset>342900</wp:posOffset>
              </wp:positionH>
              <wp:positionV relativeFrom="page">
                <wp:posOffset>10161307</wp:posOffset>
              </wp:positionV>
              <wp:extent cx="6972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270"/>
                      </a:xfrm>
                      <a:custGeom>
                        <a:avLst/>
                        <a:gdLst/>
                        <a:ahLst/>
                        <a:cxnLst/>
                        <a:rect l="l" t="t" r="r" b="b"/>
                        <a:pathLst>
                          <a:path w="6972300">
                            <a:moveTo>
                              <a:pt x="0" y="0"/>
                            </a:moveTo>
                            <a:lnTo>
                              <a:pt x="6972300" y="0"/>
                            </a:lnTo>
                          </a:path>
                        </a:pathLst>
                      </a:custGeom>
                      <a:ln w="25400">
                        <a:solidFill>
                          <a:srgbClr val="009D00"/>
                        </a:solidFill>
                        <a:prstDash val="solid"/>
                      </a:ln>
                    </wps:spPr>
                    <wps:bodyPr wrap="square" lIns="0" tIns="0" rIns="0" bIns="0" rtlCol="0">
                      <a:prstTxWarp prst="textNoShape">
                        <a:avLst/>
                      </a:prstTxWarp>
                      <a:noAutofit/>
                    </wps:bodyPr>
                  </wps:wsp>
                </a:graphicData>
              </a:graphic>
            </wp:anchor>
          </w:drawing>
        </mc:Choice>
        <mc:Fallback>
          <w:pict>
            <v:shape w14:anchorId="413C227D" id="Graphic 2" o:spid="_x0000_s1026" style="position:absolute;margin-left:27pt;margin-top:800.1pt;width:549pt;height:.1pt;z-index:-15771136;visibility:visible;mso-wrap-style:square;mso-wrap-distance-left:0;mso-wrap-distance-top:0;mso-wrap-distance-right:0;mso-wrap-distance-bottom:0;mso-position-horizontal:absolute;mso-position-horizontal-relative:page;mso-position-vertical:absolute;mso-position-vertical-relative:page;v-text-anchor:top" coordsize="697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" path="m,l6972300,e" filled="f" strokecolor="#009d00" strokeweight="2pt">
              <v:path arrowok="t"/>
              <w10:wrap anchorx="page" anchory="page"/>
            </v:shape>
          </w:pict>
        </mc:Fallback>
      </mc:AlternateContent>
    </w:r>
    <w:r>
      <w:rPr>
        <w:noProof/>
      </w:rPr>
      <mc:AlternateContent>
        <mc:Choice Requires="wps">
          <w:drawing>
            <wp:anchor distT="0" distB="0" distL="0" distR="0" simplePos="0" relativeHeight="487545856" behindDoc="1" locked="0" layoutInCell="1" allowOverlap="1" wp14:anchorId="6FADE934" wp14:editId="7DD86AB2">
              <wp:simplePos x="0" y="0"/>
              <wp:positionH relativeFrom="page">
                <wp:posOffset>1130604</wp:posOffset>
              </wp:positionH>
              <wp:positionV relativeFrom="page">
                <wp:posOffset>10214990</wp:posOffset>
              </wp:positionV>
              <wp:extent cx="1419860" cy="224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224790"/>
                      </a:xfrm>
                      <a:prstGeom prst="rect">
                        <a:avLst/>
                      </a:prstGeom>
                    </wps:spPr>
                    <wps:txbx>
                      <w:txbxContent>
                        <w:p w14:paraId="61FED9F2" w14:textId="77777777" w:rsidR="00F42318" w:rsidRDefault="00132CF1">
                          <w:pPr>
                            <w:spacing w:before="11"/>
                            <w:ind w:left="20"/>
                            <w:rPr>
                              <w:b/>
                              <w:sz w:val="28"/>
                            </w:rPr>
                          </w:pPr>
                          <w:hyperlink r:id="rId1">
                            <w:r w:rsidR="004154A3">
                              <w:rPr>
                                <w:b/>
                                <w:color w:val="009D00"/>
                                <w:spacing w:val="-2"/>
                                <w:sz w:val="28"/>
                                <w:u w:val="single" w:color="009D00"/>
                              </w:rPr>
                              <w:t>www.sps.nhs.uk</w:t>
                            </w:r>
                          </w:hyperlink>
                        </w:p>
                      </w:txbxContent>
                    </wps:txbx>
                    <wps:bodyPr wrap="square" lIns="0" tIns="0" rIns="0" bIns="0" rtlCol="0">
                      <a:noAutofit/>
                    </wps:bodyPr>
                  </wps:wsp>
                </a:graphicData>
              </a:graphic>
            </wp:anchor>
          </w:drawing>
        </mc:Choice>
        <mc:Fallback>
          <w:pict>
            <v:shapetype w14:anchorId="6FADE934" id="_x0000_t202" coordsize="21600,21600" o:spt="202" path="m,l,21600r21600,l21600,xe">
              <v:stroke joinstyle="miter"/>
              <v:path gradientshapeok="t" o:connecttype="rect"/>
            </v:shapetype>
            <v:shape id="Textbox 3" o:spid="_x0000_s1027" type="#_x0000_t202" style="position:absolute;margin-left:89pt;margin-top:804.35pt;width:111.8pt;height:17.7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" filled="f" stroked="f">
              <v:textbox inset="0,0,0,0">
                <w:txbxContent>
                  <w:p w14:paraId="61FED9F2" w14:textId="77777777" w:rsidR="00F42318" w:rsidRDefault="00DE122E">
                    <w:pPr>
                      <w:spacing w:before="11"/>
                      <w:ind w:left="20"/>
                      <w:rPr>
                        <w:b/>
                        <w:sz w:val="28"/>
                      </w:rPr>
                    </w:pPr>
                    <w:hyperlink r:id="rId2">
                      <w:r w:rsidR="004154A3">
                        <w:rPr>
                          <w:b/>
                          <w:color w:val="009D00"/>
                          <w:spacing w:val="-2"/>
                          <w:sz w:val="28"/>
                          <w:u w:val="single" w:color="009D00"/>
                        </w:rPr>
                        <w:t>www.sps.nhs.uk</w:t>
                      </w:r>
                    </w:hyperlink>
                  </w:p>
                </w:txbxContent>
              </v:textbox>
              <w10:wrap anchorx="page" anchory="page"/>
            </v:shape>
          </w:pict>
        </mc:Fallback>
      </mc:AlternateContent>
    </w:r>
    <w:r>
      <w:rPr>
        <w:noProof/>
      </w:rPr>
      <mc:AlternateContent>
        <mc:Choice Requires="wps">
          <w:drawing>
            <wp:anchor distT="0" distB="0" distL="0" distR="0" simplePos="0" relativeHeight="487546368" behindDoc="1" locked="0" layoutInCell="1" allowOverlap="1" wp14:anchorId="728223C6" wp14:editId="05A35F8A">
              <wp:simplePos x="0" y="0"/>
              <wp:positionH relativeFrom="page">
                <wp:posOffset>5596890</wp:posOffset>
              </wp:positionH>
              <wp:positionV relativeFrom="page">
                <wp:posOffset>10238444</wp:posOffset>
              </wp:positionV>
              <wp:extent cx="83121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196215"/>
                      </a:xfrm>
                      <a:prstGeom prst="rect">
                        <a:avLst/>
                      </a:prstGeom>
                    </wps:spPr>
                    <wps:txbx>
                      <w:txbxContent>
                        <w:p w14:paraId="467F920F" w14:textId="77777777" w:rsidR="00F42318" w:rsidRDefault="004154A3">
                          <w:pPr>
                            <w:spacing w:before="12"/>
                            <w:ind w:left="20"/>
                            <w:rPr>
                              <w:b/>
                              <w:sz w:val="24"/>
                            </w:rPr>
                          </w:pPr>
                          <w:r>
                            <w:rPr>
                              <w:b/>
                              <w:color w:val="009D00"/>
                              <w:sz w:val="24"/>
                            </w:rPr>
                            <w:t>Page</w:t>
                          </w:r>
                          <w:r>
                            <w:rPr>
                              <w:b/>
                              <w:color w:val="009D00"/>
                              <w:spacing w:val="-2"/>
                              <w:sz w:val="24"/>
                            </w:rPr>
                            <w:t xml:space="preserve"> </w:t>
                          </w:r>
                          <w:r>
                            <w:rPr>
                              <w:b/>
                              <w:color w:val="009D00"/>
                              <w:sz w:val="24"/>
                            </w:rPr>
                            <w:fldChar w:fldCharType="begin"/>
                          </w:r>
                          <w:r>
                            <w:rPr>
                              <w:b/>
                              <w:color w:val="009D00"/>
                              <w:sz w:val="24"/>
                            </w:rPr>
                            <w:instrText xml:space="preserve"> PAGE </w:instrText>
                          </w:r>
                          <w:r>
                            <w:rPr>
                              <w:b/>
                              <w:color w:val="009D00"/>
                              <w:sz w:val="24"/>
                            </w:rPr>
                            <w:fldChar w:fldCharType="separate"/>
                          </w:r>
                          <w:r>
                            <w:rPr>
                              <w:b/>
                              <w:color w:val="009D00"/>
                              <w:sz w:val="24"/>
                            </w:rPr>
                            <w:t>1</w:t>
                          </w:r>
                          <w:r>
                            <w:rPr>
                              <w:b/>
                              <w:color w:val="009D00"/>
                              <w:sz w:val="24"/>
                            </w:rPr>
                            <w:fldChar w:fldCharType="end"/>
                          </w:r>
                          <w:r>
                            <w:rPr>
                              <w:b/>
                              <w:color w:val="009D00"/>
                              <w:sz w:val="24"/>
                            </w:rPr>
                            <w:t xml:space="preserve"> of</w:t>
                          </w:r>
                          <w:r>
                            <w:rPr>
                              <w:b/>
                              <w:color w:val="009D00"/>
                              <w:spacing w:val="-2"/>
                              <w:sz w:val="24"/>
                            </w:rPr>
                            <w:t xml:space="preserve"> </w:t>
                          </w:r>
                          <w:r>
                            <w:rPr>
                              <w:b/>
                              <w:color w:val="009D00"/>
                              <w:spacing w:val="-10"/>
                              <w:sz w:val="24"/>
                            </w:rPr>
                            <w:fldChar w:fldCharType="begin"/>
                          </w:r>
                          <w:r>
                            <w:rPr>
                              <w:b/>
                              <w:color w:val="009D00"/>
                              <w:spacing w:val="-10"/>
                              <w:sz w:val="24"/>
                            </w:rPr>
                            <w:instrText xml:space="preserve"> NUMPAGES </w:instrText>
                          </w:r>
                          <w:r>
                            <w:rPr>
                              <w:b/>
                              <w:color w:val="009D00"/>
                              <w:spacing w:val="-10"/>
                              <w:sz w:val="24"/>
                            </w:rPr>
                            <w:fldChar w:fldCharType="separate"/>
                          </w:r>
                          <w:r>
                            <w:rPr>
                              <w:b/>
                              <w:color w:val="009D00"/>
                              <w:spacing w:val="-10"/>
                              <w:sz w:val="24"/>
                            </w:rPr>
                            <w:t>3</w:t>
                          </w:r>
                          <w:r>
                            <w:rPr>
                              <w:b/>
                              <w:color w:val="009D00"/>
                              <w:spacing w:val="-10"/>
                              <w:sz w:val="24"/>
                            </w:rPr>
                            <w:fldChar w:fldCharType="end"/>
                          </w:r>
                        </w:p>
                      </w:txbxContent>
                    </wps:txbx>
                    <wps:bodyPr wrap="square" lIns="0" tIns="0" rIns="0" bIns="0" rtlCol="0">
                      <a:noAutofit/>
                    </wps:bodyPr>
                  </wps:wsp>
                </a:graphicData>
              </a:graphic>
            </wp:anchor>
          </w:drawing>
        </mc:Choice>
        <mc:Fallback>
          <w:pict>
            <v:shape w14:anchorId="728223C6" id="Textbox 4" o:spid="_x0000_s1028" type="#_x0000_t202" style="position:absolute;margin-left:440.7pt;margin-top:806.2pt;width:65.45pt;height:15.4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" filled="f" stroked="f">
              <v:textbox inset="0,0,0,0">
                <w:txbxContent>
                  <w:p w14:paraId="467F920F" w14:textId="77777777" w:rsidR="00F42318" w:rsidRDefault="004154A3">
                    <w:pPr>
                      <w:spacing w:before="12"/>
                      <w:ind w:left="20"/>
                      <w:rPr>
                        <w:b/>
                        <w:sz w:val="24"/>
                      </w:rPr>
                    </w:pPr>
                    <w:r>
                      <w:rPr>
                        <w:b/>
                        <w:color w:val="009D00"/>
                        <w:sz w:val="24"/>
                      </w:rPr>
                      <w:t>Page</w:t>
                    </w:r>
                    <w:r>
                      <w:rPr>
                        <w:b/>
                        <w:color w:val="009D00"/>
                        <w:spacing w:val="-2"/>
                        <w:sz w:val="24"/>
                      </w:rPr>
                      <w:t xml:space="preserve"> </w:t>
                    </w:r>
                    <w:r>
                      <w:rPr>
                        <w:b/>
                        <w:color w:val="009D00"/>
                        <w:sz w:val="24"/>
                      </w:rPr>
                      <w:fldChar w:fldCharType="begin"/>
                    </w:r>
                    <w:r>
                      <w:rPr>
                        <w:b/>
                        <w:color w:val="009D00"/>
                        <w:sz w:val="24"/>
                      </w:rPr>
                      <w:instrText xml:space="preserve"> PAGE </w:instrText>
                    </w:r>
                    <w:r>
                      <w:rPr>
                        <w:b/>
                        <w:color w:val="009D00"/>
                        <w:sz w:val="24"/>
                      </w:rPr>
                      <w:fldChar w:fldCharType="separate"/>
                    </w:r>
                    <w:r>
                      <w:rPr>
                        <w:b/>
                        <w:color w:val="009D00"/>
                        <w:sz w:val="24"/>
                      </w:rPr>
                      <w:t>1</w:t>
                    </w:r>
                    <w:r>
                      <w:rPr>
                        <w:b/>
                        <w:color w:val="009D00"/>
                        <w:sz w:val="24"/>
                      </w:rPr>
                      <w:fldChar w:fldCharType="end"/>
                    </w:r>
                    <w:r>
                      <w:rPr>
                        <w:b/>
                        <w:color w:val="009D00"/>
                        <w:sz w:val="24"/>
                      </w:rPr>
                      <w:t xml:space="preserve"> of</w:t>
                    </w:r>
                    <w:r>
                      <w:rPr>
                        <w:b/>
                        <w:color w:val="009D00"/>
                        <w:spacing w:val="-2"/>
                        <w:sz w:val="24"/>
                      </w:rPr>
                      <w:t xml:space="preserve"> </w:t>
                    </w:r>
                    <w:r>
                      <w:rPr>
                        <w:b/>
                        <w:color w:val="009D00"/>
                        <w:spacing w:val="-10"/>
                        <w:sz w:val="24"/>
                      </w:rPr>
                      <w:fldChar w:fldCharType="begin"/>
                    </w:r>
                    <w:r>
                      <w:rPr>
                        <w:b/>
                        <w:color w:val="009D00"/>
                        <w:spacing w:val="-10"/>
                        <w:sz w:val="24"/>
                      </w:rPr>
                      <w:instrText xml:space="preserve"> NUMPAGES </w:instrText>
                    </w:r>
                    <w:r>
                      <w:rPr>
                        <w:b/>
                        <w:color w:val="009D00"/>
                        <w:spacing w:val="-10"/>
                        <w:sz w:val="24"/>
                      </w:rPr>
                      <w:fldChar w:fldCharType="separate"/>
                    </w:r>
                    <w:r>
                      <w:rPr>
                        <w:b/>
                        <w:color w:val="009D00"/>
                        <w:spacing w:val="-10"/>
                        <w:sz w:val="24"/>
                      </w:rPr>
                      <w:t>3</w:t>
                    </w:r>
                    <w:r>
                      <w:rPr>
                        <w:b/>
                        <w:color w:val="009D00"/>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1900" w14:textId="77777777" w:rsidR="004C30D9" w:rsidRDefault="004C30D9">
      <w:r>
        <w:separator/>
      </w:r>
    </w:p>
  </w:footnote>
  <w:footnote w:type="continuationSeparator" w:id="0">
    <w:p w14:paraId="1CA6915E" w14:textId="77777777" w:rsidR="004C30D9" w:rsidRDefault="004C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A77" w14:textId="1A66D8E2" w:rsidR="00AC7F37" w:rsidRDefault="00AC7F37">
    <w:pPr>
      <w:pStyle w:val="Header"/>
    </w:pPr>
    <w:r>
      <w:t xml:space="preserve">Original version prepared the NHS Specialist Pharmacy Service: </w:t>
    </w:r>
    <w:r w:rsidR="0072276C">
      <w:t>March</w:t>
    </w:r>
    <w:r>
      <w:t xml:space="preserve"> 2024</w:t>
    </w:r>
  </w:p>
  <w:p w14:paraId="298DE55F" w14:textId="361F5FD6" w:rsidR="00AC7F37" w:rsidRDefault="00AC7F37">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18"/>
    <w:rsid w:val="00003761"/>
    <w:rsid w:val="00031B88"/>
    <w:rsid w:val="00132CF1"/>
    <w:rsid w:val="0015173E"/>
    <w:rsid w:val="001739AD"/>
    <w:rsid w:val="00193103"/>
    <w:rsid w:val="001B212F"/>
    <w:rsid w:val="00290164"/>
    <w:rsid w:val="004154A3"/>
    <w:rsid w:val="004C30D9"/>
    <w:rsid w:val="00531C17"/>
    <w:rsid w:val="0072276C"/>
    <w:rsid w:val="008451FC"/>
    <w:rsid w:val="009626C1"/>
    <w:rsid w:val="00A5437A"/>
    <w:rsid w:val="00AC7F37"/>
    <w:rsid w:val="00B177B4"/>
    <w:rsid w:val="00B40AC8"/>
    <w:rsid w:val="00D54E62"/>
    <w:rsid w:val="00DA0980"/>
    <w:rsid w:val="00DE122E"/>
    <w:rsid w:val="00EB67CC"/>
    <w:rsid w:val="00F42318"/>
    <w:rsid w:val="00F92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55F7"/>
  <w15:docId w15:val="{EFED9ADC-060B-4EE6-A721-60CE1873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1"/>
      <w:ind w:left="48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8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3103"/>
    <w:pPr>
      <w:tabs>
        <w:tab w:val="center" w:pos="4513"/>
        <w:tab w:val="right" w:pos="9026"/>
      </w:tabs>
    </w:pPr>
  </w:style>
  <w:style w:type="character" w:customStyle="1" w:styleId="HeaderChar">
    <w:name w:val="Header Char"/>
    <w:basedOn w:val="DefaultParagraphFont"/>
    <w:link w:val="Header"/>
    <w:uiPriority w:val="99"/>
    <w:rsid w:val="00193103"/>
    <w:rPr>
      <w:rFonts w:ascii="Arial" w:eastAsia="Arial" w:hAnsi="Arial" w:cs="Arial"/>
    </w:rPr>
  </w:style>
  <w:style w:type="paragraph" w:styleId="Footer">
    <w:name w:val="footer"/>
    <w:basedOn w:val="Normal"/>
    <w:link w:val="FooterChar"/>
    <w:uiPriority w:val="99"/>
    <w:unhideWhenUsed/>
    <w:rsid w:val="00193103"/>
    <w:pPr>
      <w:tabs>
        <w:tab w:val="center" w:pos="4513"/>
        <w:tab w:val="right" w:pos="9026"/>
      </w:tabs>
    </w:pPr>
  </w:style>
  <w:style w:type="character" w:customStyle="1" w:styleId="FooterChar">
    <w:name w:val="Footer Char"/>
    <w:basedOn w:val="DefaultParagraphFont"/>
    <w:link w:val="Footer"/>
    <w:uiPriority w:val="99"/>
    <w:rsid w:val="00193103"/>
    <w:rPr>
      <w:rFonts w:ascii="Arial" w:eastAsia="Arial" w:hAnsi="Arial" w:cs="Arial"/>
    </w:rPr>
  </w:style>
  <w:style w:type="paragraph" w:customStyle="1" w:styleId="paragraph">
    <w:name w:val="paragraph"/>
    <w:basedOn w:val="Normal"/>
    <w:rsid w:val="001739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739AD"/>
  </w:style>
  <w:style w:type="character" w:customStyle="1" w:styleId="eop">
    <w:name w:val="eop"/>
    <w:basedOn w:val="DefaultParagraphFont"/>
    <w:rsid w:val="00173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6753">
      <w:bodyDiv w:val="1"/>
      <w:marLeft w:val="0"/>
      <w:marRight w:val="0"/>
      <w:marTop w:val="0"/>
      <w:marBottom w:val="0"/>
      <w:divBdr>
        <w:top w:val="none" w:sz="0" w:space="0" w:color="auto"/>
        <w:left w:val="none" w:sz="0" w:space="0" w:color="auto"/>
        <w:bottom w:val="none" w:sz="0" w:space="0" w:color="auto"/>
        <w:right w:val="none" w:sz="0" w:space="0" w:color="auto"/>
      </w:divBdr>
      <w:divsChild>
        <w:div w:id="768163328">
          <w:marLeft w:val="0"/>
          <w:marRight w:val="0"/>
          <w:marTop w:val="0"/>
          <w:marBottom w:val="0"/>
          <w:divBdr>
            <w:top w:val="none" w:sz="0" w:space="0" w:color="auto"/>
            <w:left w:val="none" w:sz="0" w:space="0" w:color="auto"/>
            <w:bottom w:val="none" w:sz="0" w:space="0" w:color="auto"/>
            <w:right w:val="none" w:sz="0" w:space="0" w:color="auto"/>
          </w:divBdr>
        </w:div>
        <w:div w:id="800075817">
          <w:marLeft w:val="0"/>
          <w:marRight w:val="0"/>
          <w:marTop w:val="0"/>
          <w:marBottom w:val="0"/>
          <w:divBdr>
            <w:top w:val="none" w:sz="0" w:space="0" w:color="auto"/>
            <w:left w:val="none" w:sz="0" w:space="0" w:color="auto"/>
            <w:bottom w:val="none" w:sz="0" w:space="0" w:color="auto"/>
            <w:right w:val="none" w:sz="0" w:space="0" w:color="auto"/>
          </w:divBdr>
        </w:div>
      </w:divsChild>
    </w:div>
    <w:div w:id="506099865">
      <w:bodyDiv w:val="1"/>
      <w:marLeft w:val="0"/>
      <w:marRight w:val="0"/>
      <w:marTop w:val="0"/>
      <w:marBottom w:val="0"/>
      <w:divBdr>
        <w:top w:val="none" w:sz="0" w:space="0" w:color="auto"/>
        <w:left w:val="none" w:sz="0" w:space="0" w:color="auto"/>
        <w:bottom w:val="none" w:sz="0" w:space="0" w:color="auto"/>
        <w:right w:val="none" w:sz="0" w:space="0" w:color="auto"/>
      </w:divBdr>
      <w:divsChild>
        <w:div w:id="789783812">
          <w:marLeft w:val="0"/>
          <w:marRight w:val="0"/>
          <w:marTop w:val="0"/>
          <w:marBottom w:val="0"/>
          <w:divBdr>
            <w:top w:val="none" w:sz="0" w:space="0" w:color="auto"/>
            <w:left w:val="none" w:sz="0" w:space="0" w:color="auto"/>
            <w:bottom w:val="none" w:sz="0" w:space="0" w:color="auto"/>
            <w:right w:val="none" w:sz="0" w:space="0" w:color="auto"/>
          </w:divBdr>
        </w:div>
        <w:div w:id="309210599">
          <w:marLeft w:val="0"/>
          <w:marRight w:val="0"/>
          <w:marTop w:val="0"/>
          <w:marBottom w:val="0"/>
          <w:divBdr>
            <w:top w:val="none" w:sz="0" w:space="0" w:color="auto"/>
            <w:left w:val="none" w:sz="0" w:space="0" w:color="auto"/>
            <w:bottom w:val="none" w:sz="0" w:space="0" w:color="auto"/>
            <w:right w:val="none" w:sz="0" w:space="0" w:color="auto"/>
          </w:divBdr>
        </w:div>
      </w:divsChild>
    </w:div>
    <w:div w:id="591281560">
      <w:bodyDiv w:val="1"/>
      <w:marLeft w:val="0"/>
      <w:marRight w:val="0"/>
      <w:marTop w:val="0"/>
      <w:marBottom w:val="0"/>
      <w:divBdr>
        <w:top w:val="none" w:sz="0" w:space="0" w:color="auto"/>
        <w:left w:val="none" w:sz="0" w:space="0" w:color="auto"/>
        <w:bottom w:val="none" w:sz="0" w:space="0" w:color="auto"/>
        <w:right w:val="none" w:sz="0" w:space="0" w:color="auto"/>
      </w:divBdr>
      <w:divsChild>
        <w:div w:id="1856571852">
          <w:marLeft w:val="0"/>
          <w:marRight w:val="0"/>
          <w:marTop w:val="0"/>
          <w:marBottom w:val="0"/>
          <w:divBdr>
            <w:top w:val="none" w:sz="0" w:space="0" w:color="auto"/>
            <w:left w:val="none" w:sz="0" w:space="0" w:color="auto"/>
            <w:bottom w:val="none" w:sz="0" w:space="0" w:color="auto"/>
            <w:right w:val="none" w:sz="0" w:space="0" w:color="auto"/>
          </w:divBdr>
        </w:div>
        <w:div w:id="1523399942">
          <w:marLeft w:val="0"/>
          <w:marRight w:val="0"/>
          <w:marTop w:val="0"/>
          <w:marBottom w:val="0"/>
          <w:divBdr>
            <w:top w:val="none" w:sz="0" w:space="0" w:color="auto"/>
            <w:left w:val="none" w:sz="0" w:space="0" w:color="auto"/>
            <w:bottom w:val="none" w:sz="0" w:space="0" w:color="auto"/>
            <w:right w:val="none" w:sz="0" w:space="0" w:color="auto"/>
          </w:divBdr>
        </w:div>
      </w:divsChild>
    </w:div>
    <w:div w:id="1335954041">
      <w:bodyDiv w:val="1"/>
      <w:marLeft w:val="0"/>
      <w:marRight w:val="0"/>
      <w:marTop w:val="0"/>
      <w:marBottom w:val="0"/>
      <w:divBdr>
        <w:top w:val="none" w:sz="0" w:space="0" w:color="auto"/>
        <w:left w:val="none" w:sz="0" w:space="0" w:color="auto"/>
        <w:bottom w:val="none" w:sz="0" w:space="0" w:color="auto"/>
        <w:right w:val="none" w:sz="0" w:space="0" w:color="auto"/>
      </w:divBdr>
      <w:divsChild>
        <w:div w:id="1643923473">
          <w:marLeft w:val="0"/>
          <w:marRight w:val="0"/>
          <w:marTop w:val="0"/>
          <w:marBottom w:val="0"/>
          <w:divBdr>
            <w:top w:val="none" w:sz="0" w:space="0" w:color="auto"/>
            <w:left w:val="none" w:sz="0" w:space="0" w:color="auto"/>
            <w:bottom w:val="none" w:sz="0" w:space="0" w:color="auto"/>
            <w:right w:val="none" w:sz="0" w:space="0" w:color="auto"/>
          </w:divBdr>
        </w:div>
        <w:div w:id="1399283527">
          <w:marLeft w:val="0"/>
          <w:marRight w:val="0"/>
          <w:marTop w:val="0"/>
          <w:marBottom w:val="0"/>
          <w:divBdr>
            <w:top w:val="none" w:sz="0" w:space="0" w:color="auto"/>
            <w:left w:val="none" w:sz="0" w:space="0" w:color="auto"/>
            <w:bottom w:val="none" w:sz="0" w:space="0" w:color="auto"/>
            <w:right w:val="none" w:sz="0" w:space="0" w:color="auto"/>
          </w:divBdr>
        </w:div>
        <w:div w:id="1482963360">
          <w:marLeft w:val="0"/>
          <w:marRight w:val="0"/>
          <w:marTop w:val="0"/>
          <w:marBottom w:val="0"/>
          <w:divBdr>
            <w:top w:val="none" w:sz="0" w:space="0" w:color="auto"/>
            <w:left w:val="none" w:sz="0" w:space="0" w:color="auto"/>
            <w:bottom w:val="none" w:sz="0" w:space="0" w:color="auto"/>
            <w:right w:val="none" w:sz="0" w:space="0" w:color="auto"/>
          </w:divBdr>
        </w:div>
      </w:divsChild>
    </w:div>
    <w:div w:id="1902248308">
      <w:bodyDiv w:val="1"/>
      <w:marLeft w:val="0"/>
      <w:marRight w:val="0"/>
      <w:marTop w:val="0"/>
      <w:marBottom w:val="0"/>
      <w:divBdr>
        <w:top w:val="none" w:sz="0" w:space="0" w:color="auto"/>
        <w:left w:val="none" w:sz="0" w:space="0" w:color="auto"/>
        <w:bottom w:val="none" w:sz="0" w:space="0" w:color="auto"/>
        <w:right w:val="none" w:sz="0" w:space="0" w:color="auto"/>
      </w:divBdr>
      <w:divsChild>
        <w:div w:id="660275806">
          <w:marLeft w:val="0"/>
          <w:marRight w:val="0"/>
          <w:marTop w:val="0"/>
          <w:marBottom w:val="0"/>
          <w:divBdr>
            <w:top w:val="none" w:sz="0" w:space="0" w:color="auto"/>
            <w:left w:val="none" w:sz="0" w:space="0" w:color="auto"/>
            <w:bottom w:val="none" w:sz="0" w:space="0" w:color="auto"/>
            <w:right w:val="none" w:sz="0" w:space="0" w:color="auto"/>
          </w:divBdr>
        </w:div>
        <w:div w:id="1430471267">
          <w:marLeft w:val="0"/>
          <w:marRight w:val="0"/>
          <w:marTop w:val="0"/>
          <w:marBottom w:val="0"/>
          <w:divBdr>
            <w:top w:val="none" w:sz="0" w:space="0" w:color="auto"/>
            <w:left w:val="none" w:sz="0" w:space="0" w:color="auto"/>
            <w:bottom w:val="none" w:sz="0" w:space="0" w:color="auto"/>
            <w:right w:val="none" w:sz="0" w:space="0" w:color="auto"/>
          </w:divBdr>
        </w:div>
        <w:div w:id="1781411573">
          <w:marLeft w:val="0"/>
          <w:marRight w:val="0"/>
          <w:marTop w:val="0"/>
          <w:marBottom w:val="0"/>
          <w:divBdr>
            <w:top w:val="none" w:sz="0" w:space="0" w:color="auto"/>
            <w:left w:val="none" w:sz="0" w:space="0" w:color="auto"/>
            <w:bottom w:val="none" w:sz="0" w:space="0" w:color="auto"/>
            <w:right w:val="none" w:sz="0" w:space="0" w:color="auto"/>
          </w:divBdr>
        </w:div>
        <w:div w:id="259024306">
          <w:marLeft w:val="0"/>
          <w:marRight w:val="0"/>
          <w:marTop w:val="0"/>
          <w:marBottom w:val="0"/>
          <w:divBdr>
            <w:top w:val="none" w:sz="0" w:space="0" w:color="auto"/>
            <w:left w:val="none" w:sz="0" w:space="0" w:color="auto"/>
            <w:bottom w:val="none" w:sz="0" w:space="0" w:color="auto"/>
            <w:right w:val="none" w:sz="0" w:space="0" w:color="auto"/>
          </w:divBdr>
        </w:div>
        <w:div w:id="1902136668">
          <w:marLeft w:val="0"/>
          <w:marRight w:val="0"/>
          <w:marTop w:val="0"/>
          <w:marBottom w:val="0"/>
          <w:divBdr>
            <w:top w:val="none" w:sz="0" w:space="0" w:color="auto"/>
            <w:left w:val="none" w:sz="0" w:space="0" w:color="auto"/>
            <w:bottom w:val="none" w:sz="0" w:space="0" w:color="auto"/>
            <w:right w:val="none" w:sz="0" w:space="0" w:color="auto"/>
          </w:divBdr>
        </w:div>
      </w:divsChild>
    </w:div>
    <w:div w:id="2058359476">
      <w:bodyDiv w:val="1"/>
      <w:marLeft w:val="0"/>
      <w:marRight w:val="0"/>
      <w:marTop w:val="0"/>
      <w:marBottom w:val="0"/>
      <w:divBdr>
        <w:top w:val="none" w:sz="0" w:space="0" w:color="auto"/>
        <w:left w:val="none" w:sz="0" w:space="0" w:color="auto"/>
        <w:bottom w:val="none" w:sz="0" w:space="0" w:color="auto"/>
        <w:right w:val="none" w:sz="0" w:space="0" w:color="auto"/>
      </w:divBdr>
      <w:divsChild>
        <w:div w:id="954486636">
          <w:marLeft w:val="0"/>
          <w:marRight w:val="0"/>
          <w:marTop w:val="0"/>
          <w:marBottom w:val="0"/>
          <w:divBdr>
            <w:top w:val="none" w:sz="0" w:space="0" w:color="auto"/>
            <w:left w:val="none" w:sz="0" w:space="0" w:color="auto"/>
            <w:bottom w:val="none" w:sz="0" w:space="0" w:color="auto"/>
            <w:right w:val="none" w:sz="0" w:space="0" w:color="auto"/>
          </w:divBdr>
        </w:div>
        <w:div w:id="69814097">
          <w:marLeft w:val="0"/>
          <w:marRight w:val="0"/>
          <w:marTop w:val="0"/>
          <w:marBottom w:val="0"/>
          <w:divBdr>
            <w:top w:val="none" w:sz="0" w:space="0" w:color="auto"/>
            <w:left w:val="none" w:sz="0" w:space="0" w:color="auto"/>
            <w:bottom w:val="none" w:sz="0" w:space="0" w:color="auto"/>
            <w:right w:val="none" w:sz="0" w:space="0" w:color="auto"/>
          </w:divBdr>
        </w:div>
      </w:divsChild>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sChild>
        <w:div w:id="1482966841">
          <w:marLeft w:val="0"/>
          <w:marRight w:val="0"/>
          <w:marTop w:val="0"/>
          <w:marBottom w:val="0"/>
          <w:divBdr>
            <w:top w:val="none" w:sz="0" w:space="0" w:color="auto"/>
            <w:left w:val="none" w:sz="0" w:space="0" w:color="auto"/>
            <w:bottom w:val="none" w:sz="0" w:space="0" w:color="auto"/>
            <w:right w:val="none" w:sz="0" w:space="0" w:color="auto"/>
          </w:divBdr>
        </w:div>
        <w:div w:id="1733656485">
          <w:marLeft w:val="0"/>
          <w:marRight w:val="0"/>
          <w:marTop w:val="0"/>
          <w:marBottom w:val="0"/>
          <w:divBdr>
            <w:top w:val="none" w:sz="0" w:space="0" w:color="auto"/>
            <w:left w:val="none" w:sz="0" w:space="0" w:color="auto"/>
            <w:bottom w:val="none" w:sz="0" w:space="0" w:color="auto"/>
            <w:right w:val="none" w:sz="0" w:space="0" w:color="auto"/>
          </w:divBdr>
        </w:div>
        <w:div w:id="2146922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Daniel Hill</cp:lastModifiedBy>
  <cp:revision>11</cp:revision>
  <dcterms:created xsi:type="dcterms:W3CDTF">2024-03-05T14:19:00Z</dcterms:created>
  <dcterms:modified xsi:type="dcterms:W3CDTF">2024-03-12T11:23:00Z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ies>
</file>