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36B31" w14:textId="77777777" w:rsidR="00427F92" w:rsidRPr="004F24C2" w:rsidRDefault="003469E1" w:rsidP="00427F92">
      <w:pPr>
        <w:pStyle w:val="Heading1"/>
      </w:pPr>
      <w:r>
        <w:t>How should intravenous (IV) potassium chloride be administered in adults?</w:t>
      </w:r>
    </w:p>
    <w:p w14:paraId="24643043" w14:textId="77777777" w:rsidR="00427F92" w:rsidRPr="00B107C7" w:rsidRDefault="00427F92" w:rsidP="00427F92">
      <w:pPr>
        <w:pStyle w:val="NoSpacing"/>
        <w:jc w:val="center"/>
        <w:rPr>
          <w:szCs w:val="20"/>
          <w:lang w:val="en-US"/>
        </w:rPr>
      </w:pPr>
      <w:r w:rsidRPr="00B00B12">
        <w:rPr>
          <w:lang w:val="en-US"/>
        </w:rPr>
        <w:br/>
      </w:r>
      <w:r w:rsidRPr="00B107C7">
        <w:rPr>
          <w:szCs w:val="20"/>
          <w:lang w:val="en-US"/>
        </w:rPr>
        <w:t>Prepared by UK Medicines Information (</w:t>
      </w:r>
      <w:hyperlink r:id="rId8" w:history="1">
        <w:r w:rsidRPr="00B107C7">
          <w:rPr>
            <w:color w:val="0000FF"/>
            <w:szCs w:val="20"/>
            <w:u w:val="single"/>
            <w:lang w:val="en-US"/>
          </w:rPr>
          <w:t>UKMi</w:t>
        </w:r>
      </w:hyperlink>
      <w:r w:rsidRPr="00B107C7">
        <w:rPr>
          <w:szCs w:val="20"/>
          <w:lang w:val="en-US"/>
        </w:rPr>
        <w:t>) pharmacists for NHS healthcare professionals</w:t>
      </w:r>
    </w:p>
    <w:p w14:paraId="329C3EAD" w14:textId="77777777" w:rsidR="00427F92" w:rsidRPr="00B107C7" w:rsidRDefault="00427F92" w:rsidP="00427F92">
      <w:pPr>
        <w:pStyle w:val="NoSpacing"/>
        <w:jc w:val="center"/>
        <w:rPr>
          <w:rFonts w:eastAsia="Times New Roman"/>
          <w:szCs w:val="20"/>
          <w:lang w:val="en-US"/>
        </w:rPr>
      </w:pPr>
      <w:r w:rsidRPr="00B107C7">
        <w:rPr>
          <w:szCs w:val="20"/>
        </w:rPr>
        <w:t xml:space="preserve">Before using this Q&amp;A, read the disclaimer at </w:t>
      </w:r>
      <w:hyperlink r:id="rId9" w:history="1">
        <w:r w:rsidRPr="00B107C7">
          <w:rPr>
            <w:rStyle w:val="Hyperlink"/>
            <w:rFonts w:cs="Arial"/>
            <w:i/>
            <w:iCs/>
            <w:sz w:val="18"/>
            <w:szCs w:val="18"/>
          </w:rPr>
          <w:t>https://www.sps.nhs.uk/articles/about-ukmi-medicines-qas/</w:t>
        </w:r>
      </w:hyperlink>
    </w:p>
    <w:p w14:paraId="2F1D3F80" w14:textId="0BB7CF6B" w:rsidR="00427F92" w:rsidRPr="00B107C7" w:rsidRDefault="00427F92" w:rsidP="00427F92">
      <w:pPr>
        <w:pStyle w:val="NoSpacing"/>
        <w:jc w:val="center"/>
        <w:rPr>
          <w:szCs w:val="20"/>
          <w:lang w:val="en-US"/>
        </w:rPr>
      </w:pPr>
      <w:r w:rsidRPr="00B107C7">
        <w:rPr>
          <w:szCs w:val="20"/>
          <w:lang w:val="en-US"/>
        </w:rPr>
        <w:t>Date prepared:</w:t>
      </w:r>
      <w:r w:rsidR="00961852">
        <w:rPr>
          <w:szCs w:val="20"/>
          <w:lang w:val="en-US"/>
        </w:rPr>
        <w:t xml:space="preserve"> </w:t>
      </w:r>
      <w:r w:rsidR="007723E4">
        <w:rPr>
          <w:szCs w:val="20"/>
          <w:lang w:val="en-US"/>
        </w:rPr>
        <w:t>1</w:t>
      </w:r>
      <w:r w:rsidR="00FD081E">
        <w:rPr>
          <w:szCs w:val="20"/>
          <w:lang w:val="en-US"/>
        </w:rPr>
        <w:t>1</w:t>
      </w:r>
      <w:r w:rsidR="00FD081E">
        <w:rPr>
          <w:szCs w:val="20"/>
          <w:vertAlign w:val="superscript"/>
          <w:lang w:val="en-US"/>
        </w:rPr>
        <w:t>h</w:t>
      </w:r>
      <w:r w:rsidR="007723E4" w:rsidRPr="00AB393B">
        <w:rPr>
          <w:szCs w:val="20"/>
          <w:vertAlign w:val="superscript"/>
          <w:lang w:val="en-US"/>
        </w:rPr>
        <w:t>t</w:t>
      </w:r>
      <w:r w:rsidR="007723E4">
        <w:rPr>
          <w:szCs w:val="20"/>
          <w:lang w:val="en-US"/>
        </w:rPr>
        <w:t xml:space="preserve"> </w:t>
      </w:r>
      <w:r w:rsidR="00FD081E">
        <w:rPr>
          <w:szCs w:val="20"/>
          <w:lang w:val="en-US"/>
        </w:rPr>
        <w:t>September</w:t>
      </w:r>
      <w:r w:rsidR="007723E4">
        <w:rPr>
          <w:szCs w:val="20"/>
          <w:lang w:val="en-US"/>
        </w:rPr>
        <w:t xml:space="preserve"> 2020</w:t>
      </w:r>
    </w:p>
    <w:p w14:paraId="1019E460" w14:textId="77777777" w:rsidR="00427F92" w:rsidRPr="00B00B12" w:rsidRDefault="00427F92" w:rsidP="00427F92">
      <w:pPr>
        <w:spacing w:after="0" w:line="240" w:lineRule="auto"/>
        <w:rPr>
          <w:rFonts w:eastAsia="Times New Roman" w:cs="Arial"/>
          <w:szCs w:val="20"/>
          <w:lang w:val="en-US"/>
        </w:rPr>
      </w:pPr>
      <w:r w:rsidRPr="00B00B12">
        <w:rPr>
          <w:rFonts w:eastAsia="Times New Roman" w:cs="Arial"/>
          <w:szCs w:val="20"/>
          <w:lang w:val="en-US"/>
        </w:rPr>
        <w:t xml:space="preserve"> </w:t>
      </w:r>
    </w:p>
    <w:p w14:paraId="4C5AE64E" w14:textId="77777777" w:rsidR="00427F92" w:rsidRDefault="00427F92" w:rsidP="00427F92">
      <w:pPr>
        <w:pStyle w:val="Heading2"/>
      </w:pPr>
      <w:r w:rsidRPr="00B00B12">
        <w:t>Background</w:t>
      </w:r>
      <w:r>
        <w:t xml:space="preserve"> </w:t>
      </w:r>
    </w:p>
    <w:p w14:paraId="5642175A" w14:textId="259CFABD" w:rsidR="003469E1" w:rsidRPr="008E4B76" w:rsidRDefault="001A5F4B" w:rsidP="00E45E1D">
      <w:pPr>
        <w:jc w:val="both"/>
        <w:rPr>
          <w:rFonts w:cs="Arial"/>
        </w:rPr>
      </w:pPr>
      <w:r>
        <w:rPr>
          <w:rFonts w:cs="Arial"/>
        </w:rPr>
        <w:t>Research in UK and elsewhere has identified a risk to patients from errors occurring during intravenous administration of potassium solutions (1)</w:t>
      </w:r>
      <w:r w:rsidR="00E45E1D">
        <w:rPr>
          <w:rFonts w:cs="Arial"/>
        </w:rPr>
        <w:t xml:space="preserve">. </w:t>
      </w:r>
      <w:r w:rsidR="00E156DD">
        <w:rPr>
          <w:rFonts w:cs="Arial"/>
        </w:rPr>
        <w:t xml:space="preserve">To reduce the risk of accidental overdose of intravenous potassium arising from the use of potassium chloride concentrate solutions, </w:t>
      </w:r>
      <w:r w:rsidR="00E45E1D">
        <w:rPr>
          <w:rFonts w:cs="Arial"/>
        </w:rPr>
        <w:t>the storage and handling of potassium chloride concentrate solutions are controlled (1)</w:t>
      </w:r>
      <w:r w:rsidR="00AB393B">
        <w:rPr>
          <w:rFonts w:cs="Arial"/>
        </w:rPr>
        <w:t>.</w:t>
      </w:r>
      <w:r w:rsidR="00E156DD">
        <w:rPr>
          <w:rFonts w:cs="Arial"/>
        </w:rPr>
        <w:t xml:space="preserve"> </w:t>
      </w:r>
      <w:r w:rsidR="003469E1" w:rsidRPr="000750CA">
        <w:rPr>
          <w:rFonts w:cs="Arial"/>
        </w:rPr>
        <w:t>These concentrated solutions are restricted to pharmacy departments and those critical care areas where concentrated solutions are needed for urgent use.</w:t>
      </w:r>
    </w:p>
    <w:p w14:paraId="4086A971" w14:textId="77777777" w:rsidR="003469E1" w:rsidRPr="008E4B76" w:rsidRDefault="003469E1" w:rsidP="003469E1">
      <w:pPr>
        <w:jc w:val="both"/>
        <w:rPr>
          <w:rFonts w:cs="Arial"/>
        </w:rPr>
      </w:pPr>
      <w:r w:rsidRPr="008E4B76">
        <w:rPr>
          <w:rFonts w:cs="Arial"/>
        </w:rPr>
        <w:t>Potassium chloride concentrate solutions or strong potassium solutions can be defined as (1):</w:t>
      </w:r>
    </w:p>
    <w:p w14:paraId="091F346A" w14:textId="77777777" w:rsidR="003469E1" w:rsidRPr="008E4B76" w:rsidRDefault="003469E1" w:rsidP="003469E1">
      <w:pPr>
        <w:numPr>
          <w:ilvl w:val="0"/>
          <w:numId w:val="11"/>
        </w:numPr>
        <w:spacing w:after="0" w:line="240" w:lineRule="auto"/>
        <w:jc w:val="both"/>
        <w:rPr>
          <w:rFonts w:cs="Arial"/>
        </w:rPr>
      </w:pPr>
      <w:r w:rsidRPr="008E4B76">
        <w:rPr>
          <w:rFonts w:cs="Arial"/>
        </w:rPr>
        <w:t>Solutions of potassium chloride of 10% or more (i.e. 1 gram potassium in 10ml)</w:t>
      </w:r>
    </w:p>
    <w:p w14:paraId="0D2A6A41" w14:textId="77777777" w:rsidR="003469E1" w:rsidRPr="008E4B76" w:rsidRDefault="003469E1" w:rsidP="003469E1">
      <w:pPr>
        <w:numPr>
          <w:ilvl w:val="0"/>
          <w:numId w:val="11"/>
        </w:numPr>
        <w:spacing w:after="0" w:line="240" w:lineRule="auto"/>
        <w:jc w:val="both"/>
        <w:rPr>
          <w:rFonts w:cs="Arial"/>
        </w:rPr>
      </w:pPr>
      <w:r w:rsidRPr="008E4B76">
        <w:rPr>
          <w:rFonts w:cs="Arial"/>
        </w:rPr>
        <w:t xml:space="preserve">Solutions of potassium hydrogen phosphate and potassium dihydrogen phosphate </w:t>
      </w:r>
      <w:r w:rsidRPr="008E4B76">
        <w:rPr>
          <w:rFonts w:cs="Arial"/>
        </w:rPr>
        <w:br/>
        <w:t>in ampoules and vials.</w:t>
      </w:r>
    </w:p>
    <w:p w14:paraId="2F3AE561" w14:textId="77777777" w:rsidR="003469E1" w:rsidRPr="008E4B76" w:rsidRDefault="003469E1" w:rsidP="003469E1">
      <w:pPr>
        <w:jc w:val="both"/>
        <w:rPr>
          <w:rFonts w:cs="Arial"/>
        </w:rPr>
      </w:pPr>
    </w:p>
    <w:p w14:paraId="017E82B3" w14:textId="77777777" w:rsidR="003469E1" w:rsidRPr="008E4B76" w:rsidRDefault="003469E1" w:rsidP="003469E1">
      <w:pPr>
        <w:jc w:val="both"/>
        <w:rPr>
          <w:rFonts w:cs="Arial"/>
        </w:rPr>
      </w:pPr>
      <w:r w:rsidRPr="008E4B76">
        <w:rPr>
          <w:rFonts w:cs="Arial"/>
        </w:rPr>
        <w:t xml:space="preserve">Wherever possible commercially available ready to use diluted solutions should now be prescribed and used (1). </w:t>
      </w:r>
    </w:p>
    <w:p w14:paraId="6D68B2F0" w14:textId="77777777" w:rsidR="003469E1" w:rsidRPr="008E4B76" w:rsidRDefault="003469E1" w:rsidP="003469E1">
      <w:pPr>
        <w:jc w:val="both"/>
        <w:rPr>
          <w:rFonts w:cs="Arial"/>
        </w:rPr>
      </w:pPr>
      <w:r w:rsidRPr="008E4B76">
        <w:rPr>
          <w:rFonts w:cs="Arial"/>
        </w:rPr>
        <w:t>Hypokalaemia</w:t>
      </w:r>
      <w:r>
        <w:rPr>
          <w:rFonts w:cs="Arial"/>
        </w:rPr>
        <w:t xml:space="preserve"> (potassium &lt;3.5mmol/L)</w:t>
      </w:r>
      <w:r w:rsidRPr="008E4B76">
        <w:rPr>
          <w:rFonts w:cs="Arial"/>
        </w:rPr>
        <w:t xml:space="preserve"> can occur due to increased loss, transcellular shift or decreased intake of potassium</w:t>
      </w:r>
      <w:r>
        <w:rPr>
          <w:rFonts w:cs="Arial"/>
        </w:rPr>
        <w:t xml:space="preserve"> and sometimes by magnesium depletion</w:t>
      </w:r>
      <w:r w:rsidRPr="008E4B76">
        <w:rPr>
          <w:rFonts w:cs="Arial"/>
        </w:rPr>
        <w:t xml:space="preserve"> (2</w:t>
      </w:r>
      <w:proofErr w:type="gramStart"/>
      <w:r>
        <w:rPr>
          <w:rFonts w:cs="Arial"/>
        </w:rPr>
        <w:t>,3</w:t>
      </w:r>
      <w:proofErr w:type="gramEnd"/>
      <w:r w:rsidRPr="008E4B76">
        <w:rPr>
          <w:rFonts w:cs="Arial"/>
        </w:rPr>
        <w:t>). Mild hypokalaemia (3.0-3.5mmol/L) is often asymptomatic. Severe hypokalaemia usually refers to a serum potassium of &lt;2.5mmol/L and can result in muscle necrosis and cardiac arrhythmias (2</w:t>
      </w:r>
      <w:proofErr w:type="gramStart"/>
      <w:r w:rsidRPr="008E4B76">
        <w:rPr>
          <w:rFonts w:cs="Arial"/>
        </w:rPr>
        <w:t>,</w:t>
      </w:r>
      <w:r>
        <w:rPr>
          <w:rFonts w:cs="Arial"/>
        </w:rPr>
        <w:t>4</w:t>
      </w:r>
      <w:proofErr w:type="gramEnd"/>
      <w:r w:rsidRPr="008E4B76">
        <w:rPr>
          <w:rFonts w:cs="Arial"/>
        </w:rPr>
        <w:t>). Clinical management of hypokalaemia is usually by potassium replacement (2</w:t>
      </w:r>
      <w:proofErr w:type="gramStart"/>
      <w:r w:rsidRPr="008E4B76">
        <w:rPr>
          <w:rFonts w:cs="Arial"/>
        </w:rPr>
        <w:t>,</w:t>
      </w:r>
      <w:r>
        <w:rPr>
          <w:rFonts w:cs="Arial"/>
        </w:rPr>
        <w:t>4</w:t>
      </w:r>
      <w:proofErr w:type="gramEnd"/>
      <w:r w:rsidRPr="008E4B76">
        <w:rPr>
          <w:rFonts w:cs="Arial"/>
        </w:rPr>
        <w:t>).</w:t>
      </w:r>
    </w:p>
    <w:p w14:paraId="64A59DF1" w14:textId="77777777" w:rsidR="00427F92" w:rsidRPr="00B00B12" w:rsidRDefault="00427F92" w:rsidP="00427F92">
      <w:pPr>
        <w:spacing w:after="0" w:line="240" w:lineRule="auto"/>
        <w:rPr>
          <w:rFonts w:eastAsia="Times New Roman" w:cs="Arial"/>
          <w:szCs w:val="20"/>
          <w:lang w:val="en-US"/>
        </w:rPr>
      </w:pPr>
    </w:p>
    <w:p w14:paraId="40A91C90" w14:textId="77777777" w:rsidR="00427F92" w:rsidRDefault="00427F92" w:rsidP="00427F92">
      <w:pPr>
        <w:pStyle w:val="Heading2"/>
      </w:pPr>
      <w:r>
        <w:t>Answer</w:t>
      </w:r>
    </w:p>
    <w:p w14:paraId="32B99D60" w14:textId="77777777" w:rsidR="003469E1" w:rsidRPr="008E4B76" w:rsidRDefault="003469E1" w:rsidP="003469E1">
      <w:pPr>
        <w:jc w:val="both"/>
        <w:rPr>
          <w:rFonts w:cs="Arial"/>
        </w:rPr>
      </w:pPr>
      <w:r w:rsidRPr="008E4B76">
        <w:rPr>
          <w:rFonts w:cs="Arial"/>
        </w:rPr>
        <w:t xml:space="preserve">Potassium administration via the intravenous route should only be used when the oral or enteral route is not available or will not achieve the required increase of serum potassium within a clinically acceptable time. </w:t>
      </w:r>
    </w:p>
    <w:p w14:paraId="15D73648" w14:textId="77777777" w:rsidR="003469E1" w:rsidRPr="008E4B76" w:rsidRDefault="003469E1" w:rsidP="003469E1">
      <w:pPr>
        <w:jc w:val="both"/>
        <w:rPr>
          <w:rFonts w:cs="Arial"/>
          <w:b/>
        </w:rPr>
      </w:pPr>
      <w:r w:rsidRPr="008E4B76">
        <w:rPr>
          <w:rFonts w:cs="Arial"/>
          <w:b/>
        </w:rPr>
        <w:t>Salt</w:t>
      </w:r>
    </w:p>
    <w:p w14:paraId="7C4A29CA" w14:textId="77777777" w:rsidR="003469E1" w:rsidRPr="008E4B76" w:rsidRDefault="003469E1" w:rsidP="003469E1">
      <w:pPr>
        <w:jc w:val="both"/>
        <w:rPr>
          <w:rFonts w:cs="Arial"/>
          <w:color w:val="FF0000"/>
          <w:vertAlign w:val="superscript"/>
        </w:rPr>
      </w:pPr>
      <w:r w:rsidRPr="008E4B76">
        <w:rPr>
          <w:rFonts w:cs="Arial"/>
        </w:rPr>
        <w:t>Potassium chloride is the salt most commonly used for potassium replacement as it is effective at treating the most likely causes of hypokalaemia (</w:t>
      </w:r>
      <w:r>
        <w:rPr>
          <w:rFonts w:cs="Arial"/>
        </w:rPr>
        <w:t>5</w:t>
      </w:r>
      <w:r w:rsidRPr="008E4B76">
        <w:rPr>
          <w:rFonts w:cs="Arial"/>
        </w:rPr>
        <w:t>).</w:t>
      </w:r>
    </w:p>
    <w:p w14:paraId="44322F15" w14:textId="77777777" w:rsidR="003469E1" w:rsidRPr="008E4B76" w:rsidRDefault="003469E1" w:rsidP="003469E1">
      <w:pPr>
        <w:jc w:val="both"/>
        <w:rPr>
          <w:rFonts w:cs="Arial"/>
          <w:color w:val="FF0000"/>
          <w:vertAlign w:val="superscript"/>
        </w:rPr>
      </w:pPr>
      <w:r w:rsidRPr="008E4B76">
        <w:rPr>
          <w:rFonts w:cs="Arial"/>
          <w:b/>
        </w:rPr>
        <w:t>Dosage</w:t>
      </w:r>
    </w:p>
    <w:p w14:paraId="5445067A" w14:textId="160C55E0" w:rsidR="003469E1" w:rsidRPr="008E4B76" w:rsidRDefault="003469E1" w:rsidP="003469E1">
      <w:pPr>
        <w:jc w:val="both"/>
        <w:rPr>
          <w:rFonts w:cs="Arial"/>
        </w:rPr>
      </w:pPr>
      <w:r w:rsidRPr="000750CA">
        <w:rPr>
          <w:rFonts w:cs="Arial"/>
        </w:rPr>
        <w:t>As a general rule, a reduction of serum potassium by 0.3mmol/L suggests a total body deficit of 100mmol (2</w:t>
      </w:r>
      <w:r>
        <w:rPr>
          <w:rFonts w:cs="Arial"/>
        </w:rPr>
        <w:t>-4</w:t>
      </w:r>
      <w:proofErr w:type="gramStart"/>
      <w:r w:rsidR="00961852">
        <w:rPr>
          <w:rFonts w:cs="Arial"/>
        </w:rPr>
        <w:t>,</w:t>
      </w:r>
      <w:r w:rsidR="002D34C6">
        <w:rPr>
          <w:rFonts w:cs="Arial"/>
        </w:rPr>
        <w:t>6</w:t>
      </w:r>
      <w:proofErr w:type="gramEnd"/>
      <w:r w:rsidRPr="000750CA">
        <w:rPr>
          <w:rFonts w:cs="Arial"/>
        </w:rPr>
        <w:t>). For patients with mild to moderate hypokalaemia who cannot receive treatment via the oral or enteral route, an init</w:t>
      </w:r>
      <w:r w:rsidRPr="008E4B76">
        <w:rPr>
          <w:rFonts w:cs="Arial"/>
        </w:rPr>
        <w:t>ial in</w:t>
      </w:r>
      <w:r>
        <w:rPr>
          <w:rFonts w:cs="Arial"/>
        </w:rPr>
        <w:t xml:space="preserve">travenous dose of 20-40mmol/L </w:t>
      </w:r>
      <w:r w:rsidRPr="008E4B76">
        <w:rPr>
          <w:rFonts w:cs="Arial"/>
        </w:rPr>
        <w:t>should be given. For those with severe/symptomatic hyp</w:t>
      </w:r>
      <w:r>
        <w:rPr>
          <w:rFonts w:cs="Arial"/>
        </w:rPr>
        <w:t xml:space="preserve">okalaemia, 40mmol/L </w:t>
      </w:r>
      <w:r w:rsidR="00761455">
        <w:rPr>
          <w:rFonts w:cs="Arial"/>
        </w:rPr>
        <w:t xml:space="preserve">is </w:t>
      </w:r>
      <w:r w:rsidRPr="008E4B76">
        <w:rPr>
          <w:rFonts w:cs="Arial"/>
        </w:rPr>
        <w:t>given</w:t>
      </w:r>
      <w:r w:rsidR="00761455">
        <w:rPr>
          <w:rFonts w:cs="Arial"/>
        </w:rPr>
        <w:t xml:space="preserve"> and a second or third dose may be required</w:t>
      </w:r>
      <w:r w:rsidRPr="008E4B76">
        <w:rPr>
          <w:rFonts w:cs="Arial"/>
        </w:rPr>
        <w:t xml:space="preserve"> (</w:t>
      </w:r>
      <w:r>
        <w:rPr>
          <w:rFonts w:cs="Arial"/>
        </w:rPr>
        <w:t>7</w:t>
      </w:r>
      <w:r w:rsidRPr="008E4B76">
        <w:rPr>
          <w:rFonts w:cs="Arial"/>
        </w:rPr>
        <w:t>). A recommended maximum dose is 2-3mmol/kg of potassium in 24 hours (</w:t>
      </w:r>
      <w:r>
        <w:rPr>
          <w:rFonts w:cs="Arial"/>
        </w:rPr>
        <w:t>5</w:t>
      </w:r>
      <w:r w:rsidRPr="008E4B76">
        <w:rPr>
          <w:rFonts w:cs="Arial"/>
        </w:rPr>
        <w:t>). This may not need to be replaced over the next 24 hours and indeed this may be inappropriate given the likely infusion volume required for larger patients. The rate of potassium loss should also be considered.</w:t>
      </w:r>
      <w:r w:rsidRPr="00934C6D">
        <w:rPr>
          <w:rFonts w:cs="Arial"/>
          <w:sz w:val="28"/>
          <w:szCs w:val="28"/>
        </w:rPr>
        <w:t xml:space="preserve"> </w:t>
      </w:r>
    </w:p>
    <w:p w14:paraId="77166BF4" w14:textId="77777777" w:rsidR="003469E1" w:rsidRPr="008E4B76" w:rsidRDefault="003469E1" w:rsidP="003469E1">
      <w:pPr>
        <w:jc w:val="both"/>
        <w:rPr>
          <w:rFonts w:cs="Arial"/>
        </w:rPr>
      </w:pPr>
      <w:r w:rsidRPr="008E4B76">
        <w:rPr>
          <w:rFonts w:cs="Arial"/>
        </w:rPr>
        <w:t>Patients with impaired renal function will require more intensive monitoring when prescribing potassium. In these patients, more caution is required with subsequent doses (</w:t>
      </w:r>
      <w:r>
        <w:rPr>
          <w:rFonts w:cs="Arial"/>
        </w:rPr>
        <w:t>8</w:t>
      </w:r>
      <w:r w:rsidRPr="008E4B76">
        <w:rPr>
          <w:rFonts w:cs="Arial"/>
        </w:rPr>
        <w:t>).</w:t>
      </w:r>
    </w:p>
    <w:p w14:paraId="32387696" w14:textId="77777777" w:rsidR="003469E1" w:rsidRPr="008E4B76" w:rsidRDefault="003469E1" w:rsidP="003469E1">
      <w:pPr>
        <w:jc w:val="both"/>
        <w:rPr>
          <w:rFonts w:cs="Arial"/>
          <w:b/>
        </w:rPr>
      </w:pPr>
      <w:r w:rsidRPr="008E4B76">
        <w:rPr>
          <w:rFonts w:cs="Arial"/>
          <w:b/>
        </w:rPr>
        <w:lastRenderedPageBreak/>
        <w:t>Infusion fluid</w:t>
      </w:r>
    </w:p>
    <w:p w14:paraId="3B2A3794" w14:textId="77777777" w:rsidR="003469E1" w:rsidRPr="008E4B76" w:rsidRDefault="003469E1" w:rsidP="003469E1">
      <w:pPr>
        <w:jc w:val="both"/>
        <w:rPr>
          <w:rFonts w:cs="Arial"/>
          <w:color w:val="000000"/>
        </w:rPr>
      </w:pPr>
      <w:r w:rsidRPr="008E4B76">
        <w:rPr>
          <w:rFonts w:cs="Arial"/>
        </w:rPr>
        <w:t>As glucose may reduce serum potassium concentrations, during initial replacement it may be preferable to use premixed infusions that are glucose-free (</w:t>
      </w:r>
      <w:r>
        <w:rPr>
          <w:rFonts w:cs="Arial"/>
        </w:rPr>
        <w:t>9</w:t>
      </w:r>
      <w:r w:rsidRPr="008E4B76">
        <w:rPr>
          <w:rFonts w:cs="Arial"/>
        </w:rPr>
        <w:t>).</w:t>
      </w:r>
    </w:p>
    <w:p w14:paraId="5DA2EF7F" w14:textId="77777777" w:rsidR="003469E1" w:rsidRPr="008E4B76" w:rsidRDefault="003469E1" w:rsidP="003469E1">
      <w:pPr>
        <w:jc w:val="both"/>
        <w:rPr>
          <w:rFonts w:cs="Arial"/>
        </w:rPr>
      </w:pPr>
      <w:r w:rsidRPr="008E4B76">
        <w:rPr>
          <w:rFonts w:cs="Arial"/>
        </w:rPr>
        <w:t>Table 1 shows examples of the strengths of the ready prepared potassium solutions which are available. The infusion fluids in which they are prepared are also listed. This list is not exhaustive.</w:t>
      </w:r>
    </w:p>
    <w:p w14:paraId="4ECAC6F5" w14:textId="77777777" w:rsidR="003469E1" w:rsidRPr="008E4B76" w:rsidRDefault="003469E1" w:rsidP="003469E1">
      <w:pPr>
        <w:jc w:val="both"/>
        <w:rPr>
          <w:rFonts w:cs="Arial"/>
        </w:rPr>
      </w:pPr>
      <w:r w:rsidRPr="008E4B76">
        <w:rPr>
          <w:rFonts w:cs="Arial"/>
          <w:b/>
        </w:rPr>
        <w:t>Table 1.  Examples of available ready prepared potassium solu</w:t>
      </w:r>
      <w:r w:rsidRPr="000750CA">
        <w:rPr>
          <w:rFonts w:cs="Arial"/>
          <w:b/>
        </w:rPr>
        <w:t>tions (</w:t>
      </w:r>
      <w:r>
        <w:rPr>
          <w:rFonts w:cs="Arial"/>
          <w:b/>
        </w:rPr>
        <w:t>10</w:t>
      </w:r>
      <w:r w:rsidRPr="000750CA">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2402"/>
        <w:gridCol w:w="4349"/>
      </w:tblGrid>
      <w:tr w:rsidR="003469E1" w:rsidRPr="00A47208" w14:paraId="45AC8D5C" w14:textId="77777777" w:rsidTr="00315ACD">
        <w:tc>
          <w:tcPr>
            <w:tcW w:w="2299" w:type="dxa"/>
          </w:tcPr>
          <w:p w14:paraId="543F8D74" w14:textId="77777777" w:rsidR="003469E1" w:rsidRPr="00A47208" w:rsidRDefault="003469E1" w:rsidP="00247973">
            <w:pPr>
              <w:rPr>
                <w:rFonts w:cs="Arial"/>
                <w:b/>
              </w:rPr>
            </w:pPr>
            <w:r w:rsidRPr="00A47208">
              <w:rPr>
                <w:rFonts w:cs="Arial"/>
                <w:b/>
              </w:rPr>
              <w:t>Strength of potassium chloride</w:t>
            </w:r>
          </w:p>
        </w:tc>
        <w:tc>
          <w:tcPr>
            <w:tcW w:w="2440" w:type="dxa"/>
          </w:tcPr>
          <w:p w14:paraId="25227CED" w14:textId="77777777" w:rsidR="003469E1" w:rsidRPr="00A47208" w:rsidRDefault="003469E1" w:rsidP="00247973">
            <w:pPr>
              <w:rPr>
                <w:rFonts w:cs="Arial"/>
                <w:b/>
              </w:rPr>
            </w:pPr>
            <w:r w:rsidRPr="00A47208">
              <w:rPr>
                <w:rFonts w:cs="Arial"/>
                <w:b/>
              </w:rPr>
              <w:t xml:space="preserve">Number of </w:t>
            </w:r>
            <w:proofErr w:type="spellStart"/>
            <w:r w:rsidRPr="00A47208">
              <w:rPr>
                <w:rFonts w:cs="Arial"/>
                <w:b/>
              </w:rPr>
              <w:t>mmol</w:t>
            </w:r>
            <w:proofErr w:type="spellEnd"/>
            <w:r w:rsidRPr="00A47208">
              <w:rPr>
                <w:rFonts w:cs="Arial"/>
                <w:b/>
              </w:rPr>
              <w:t xml:space="preserve"> potassium</w:t>
            </w:r>
          </w:p>
        </w:tc>
        <w:tc>
          <w:tcPr>
            <w:tcW w:w="4441" w:type="dxa"/>
          </w:tcPr>
          <w:p w14:paraId="371F4526" w14:textId="77777777" w:rsidR="003469E1" w:rsidRPr="00A47208" w:rsidRDefault="003469E1" w:rsidP="00247973">
            <w:pPr>
              <w:rPr>
                <w:rFonts w:cs="Arial"/>
                <w:b/>
              </w:rPr>
            </w:pPr>
            <w:r w:rsidRPr="00A47208">
              <w:rPr>
                <w:rFonts w:cs="Arial"/>
                <w:b/>
              </w:rPr>
              <w:t>Infusion fluids</w:t>
            </w:r>
          </w:p>
        </w:tc>
      </w:tr>
      <w:tr w:rsidR="003469E1" w:rsidRPr="00A47208" w14:paraId="1DE31A0C" w14:textId="77777777" w:rsidTr="00247973">
        <w:trPr>
          <w:trHeight w:val="3818"/>
        </w:trPr>
        <w:tc>
          <w:tcPr>
            <w:tcW w:w="2299" w:type="dxa"/>
          </w:tcPr>
          <w:p w14:paraId="07B7D200" w14:textId="77777777" w:rsidR="003469E1" w:rsidRPr="00A47208" w:rsidRDefault="003469E1" w:rsidP="00247973">
            <w:pPr>
              <w:rPr>
                <w:rFonts w:cs="Arial"/>
              </w:rPr>
            </w:pPr>
            <w:r w:rsidRPr="00A47208">
              <w:rPr>
                <w:rFonts w:cs="Arial"/>
              </w:rPr>
              <w:t>Potassium chloride 0.15%w/v</w:t>
            </w:r>
          </w:p>
          <w:p w14:paraId="31FFF9BB" w14:textId="77777777" w:rsidR="003469E1" w:rsidRPr="00A47208" w:rsidRDefault="003469E1" w:rsidP="00247973">
            <w:pPr>
              <w:rPr>
                <w:rFonts w:cs="Arial"/>
              </w:rPr>
            </w:pPr>
          </w:p>
          <w:p w14:paraId="441C4975" w14:textId="77777777" w:rsidR="003469E1" w:rsidRPr="00A47208" w:rsidRDefault="003469E1" w:rsidP="00247973">
            <w:pPr>
              <w:rPr>
                <w:rFonts w:cs="Arial"/>
              </w:rPr>
            </w:pPr>
          </w:p>
          <w:p w14:paraId="0C3AF522" w14:textId="77777777" w:rsidR="003469E1" w:rsidRPr="00A47208" w:rsidRDefault="003469E1" w:rsidP="00247973">
            <w:pPr>
              <w:rPr>
                <w:rFonts w:cs="Arial"/>
              </w:rPr>
            </w:pPr>
          </w:p>
          <w:p w14:paraId="4CDAD4D8" w14:textId="77777777" w:rsidR="003469E1" w:rsidRPr="00A47208" w:rsidRDefault="003469E1" w:rsidP="00247973">
            <w:pPr>
              <w:rPr>
                <w:rFonts w:cs="Arial"/>
              </w:rPr>
            </w:pPr>
          </w:p>
          <w:p w14:paraId="022444DB" w14:textId="77777777" w:rsidR="003469E1" w:rsidRPr="00A47208" w:rsidRDefault="003469E1" w:rsidP="00247973">
            <w:pPr>
              <w:rPr>
                <w:rFonts w:cs="Arial"/>
              </w:rPr>
            </w:pPr>
          </w:p>
          <w:p w14:paraId="6A1A6170" w14:textId="77777777" w:rsidR="003469E1" w:rsidRPr="00A47208" w:rsidRDefault="003469E1" w:rsidP="00247973">
            <w:pPr>
              <w:rPr>
                <w:rFonts w:cs="Arial"/>
              </w:rPr>
            </w:pPr>
          </w:p>
        </w:tc>
        <w:tc>
          <w:tcPr>
            <w:tcW w:w="2440" w:type="dxa"/>
          </w:tcPr>
          <w:p w14:paraId="1118EF44" w14:textId="77777777" w:rsidR="003469E1" w:rsidRPr="00A47208" w:rsidRDefault="003469E1" w:rsidP="00315ACD">
            <w:pPr>
              <w:jc w:val="both"/>
              <w:rPr>
                <w:rFonts w:cs="Arial"/>
              </w:rPr>
            </w:pPr>
            <w:r w:rsidRPr="00A47208">
              <w:rPr>
                <w:rFonts w:cs="Arial"/>
              </w:rPr>
              <w:t>20mmol in 1 litre bag</w:t>
            </w:r>
          </w:p>
          <w:p w14:paraId="049FB48F" w14:textId="77777777" w:rsidR="003469E1" w:rsidRPr="00A47208" w:rsidRDefault="003469E1" w:rsidP="00315ACD">
            <w:pPr>
              <w:jc w:val="both"/>
              <w:rPr>
                <w:rFonts w:cs="Arial"/>
              </w:rPr>
            </w:pPr>
            <w:r w:rsidRPr="00A47208">
              <w:rPr>
                <w:rFonts w:cs="Arial"/>
              </w:rPr>
              <w:t>10mmol in 500ml bag</w:t>
            </w:r>
          </w:p>
          <w:p w14:paraId="7DDE95E8" w14:textId="77777777" w:rsidR="003469E1" w:rsidRPr="00A47208" w:rsidRDefault="003469E1" w:rsidP="00315ACD">
            <w:pPr>
              <w:jc w:val="both"/>
              <w:rPr>
                <w:rFonts w:cs="Arial"/>
              </w:rPr>
            </w:pPr>
          </w:p>
          <w:p w14:paraId="5F29DBD1" w14:textId="77777777" w:rsidR="003469E1" w:rsidRPr="00A47208" w:rsidRDefault="003469E1" w:rsidP="00315ACD">
            <w:pPr>
              <w:jc w:val="both"/>
              <w:rPr>
                <w:rFonts w:cs="Arial"/>
              </w:rPr>
            </w:pPr>
          </w:p>
          <w:p w14:paraId="63E2C88D" w14:textId="77777777" w:rsidR="003469E1" w:rsidRPr="00A47208" w:rsidRDefault="003469E1" w:rsidP="00315ACD">
            <w:pPr>
              <w:jc w:val="both"/>
              <w:rPr>
                <w:rFonts w:cs="Arial"/>
              </w:rPr>
            </w:pPr>
          </w:p>
          <w:p w14:paraId="0E34AB15" w14:textId="77777777" w:rsidR="003469E1" w:rsidRPr="00A47208" w:rsidRDefault="003469E1" w:rsidP="00315ACD">
            <w:pPr>
              <w:jc w:val="both"/>
              <w:rPr>
                <w:rFonts w:cs="Arial"/>
              </w:rPr>
            </w:pPr>
          </w:p>
          <w:p w14:paraId="159400A6" w14:textId="77777777" w:rsidR="003469E1" w:rsidRPr="00A47208" w:rsidRDefault="003469E1" w:rsidP="00315ACD">
            <w:pPr>
              <w:jc w:val="both"/>
              <w:rPr>
                <w:rFonts w:cs="Arial"/>
              </w:rPr>
            </w:pPr>
          </w:p>
          <w:p w14:paraId="1622E33F" w14:textId="77777777" w:rsidR="003469E1" w:rsidRPr="00A47208" w:rsidRDefault="003469E1" w:rsidP="00315ACD">
            <w:pPr>
              <w:jc w:val="both"/>
              <w:rPr>
                <w:rFonts w:cs="Arial"/>
              </w:rPr>
            </w:pPr>
          </w:p>
        </w:tc>
        <w:tc>
          <w:tcPr>
            <w:tcW w:w="4441" w:type="dxa"/>
          </w:tcPr>
          <w:p w14:paraId="3C704556" w14:textId="243F6185" w:rsidR="003469E1" w:rsidRPr="00A47208" w:rsidRDefault="003469E1" w:rsidP="00315ACD">
            <w:pPr>
              <w:jc w:val="both"/>
              <w:rPr>
                <w:rFonts w:cs="Arial"/>
              </w:rPr>
            </w:pPr>
            <w:r w:rsidRPr="00A47208">
              <w:rPr>
                <w:rFonts w:cs="Arial"/>
              </w:rPr>
              <w:t>Sodium chloride 0.9% w/v</w:t>
            </w:r>
          </w:p>
          <w:p w14:paraId="2E8CF439" w14:textId="77777777" w:rsidR="00247973" w:rsidRDefault="00247973" w:rsidP="00315ACD">
            <w:pPr>
              <w:jc w:val="both"/>
              <w:rPr>
                <w:rFonts w:cs="Arial"/>
              </w:rPr>
            </w:pPr>
          </w:p>
          <w:p w14:paraId="3A20C47E" w14:textId="77777777" w:rsidR="003469E1" w:rsidRPr="00A47208" w:rsidRDefault="003469E1" w:rsidP="00315ACD">
            <w:pPr>
              <w:jc w:val="both"/>
              <w:rPr>
                <w:rFonts w:cs="Arial"/>
              </w:rPr>
            </w:pPr>
            <w:r w:rsidRPr="00A47208">
              <w:rPr>
                <w:rFonts w:cs="Arial"/>
              </w:rPr>
              <w:t>Glucose 5% w/v</w:t>
            </w:r>
          </w:p>
          <w:p w14:paraId="161EDDDB" w14:textId="77777777" w:rsidR="003469E1" w:rsidRPr="00A47208" w:rsidRDefault="003469E1" w:rsidP="00315ACD">
            <w:pPr>
              <w:jc w:val="both"/>
              <w:rPr>
                <w:rFonts w:cs="Arial"/>
              </w:rPr>
            </w:pPr>
          </w:p>
          <w:p w14:paraId="3931EA5C" w14:textId="77777777" w:rsidR="003469E1" w:rsidRPr="00A47208" w:rsidRDefault="003469E1" w:rsidP="00315ACD">
            <w:pPr>
              <w:jc w:val="both"/>
              <w:rPr>
                <w:rFonts w:cs="Arial"/>
              </w:rPr>
            </w:pPr>
            <w:r w:rsidRPr="00A47208">
              <w:rPr>
                <w:rFonts w:cs="Arial"/>
              </w:rPr>
              <w:t xml:space="preserve">Glucose 4% w/v with sodium chloride </w:t>
            </w:r>
          </w:p>
          <w:p w14:paraId="3CBB519D" w14:textId="043FF24F" w:rsidR="003469E1" w:rsidRPr="00A47208" w:rsidRDefault="003469E1" w:rsidP="00315ACD">
            <w:pPr>
              <w:jc w:val="both"/>
              <w:rPr>
                <w:rFonts w:cs="Arial"/>
              </w:rPr>
            </w:pPr>
            <w:r w:rsidRPr="00A47208">
              <w:rPr>
                <w:rFonts w:cs="Arial"/>
              </w:rPr>
              <w:tab/>
            </w:r>
            <w:r w:rsidRPr="00A47208">
              <w:rPr>
                <w:rFonts w:cs="Arial"/>
              </w:rPr>
              <w:tab/>
            </w:r>
            <w:r w:rsidRPr="00A47208">
              <w:rPr>
                <w:rFonts w:cs="Arial"/>
              </w:rPr>
              <w:tab/>
            </w:r>
            <w:r w:rsidRPr="00A47208">
              <w:rPr>
                <w:rFonts w:cs="Arial"/>
              </w:rPr>
              <w:tab/>
              <w:t xml:space="preserve">0.18% w/v </w:t>
            </w:r>
          </w:p>
          <w:p w14:paraId="7936B66B" w14:textId="77777777" w:rsidR="003469E1" w:rsidRPr="00A47208" w:rsidRDefault="003469E1" w:rsidP="00315ACD">
            <w:pPr>
              <w:jc w:val="both"/>
              <w:rPr>
                <w:rFonts w:cs="Arial"/>
              </w:rPr>
            </w:pPr>
            <w:r w:rsidRPr="00A47208">
              <w:rPr>
                <w:rFonts w:cs="Arial"/>
              </w:rPr>
              <w:t xml:space="preserve">Glucose 5% w/v with sodium chloride </w:t>
            </w:r>
          </w:p>
          <w:p w14:paraId="2C85F2FE" w14:textId="29C7C86D" w:rsidR="003469E1" w:rsidRPr="00247973" w:rsidRDefault="003469E1" w:rsidP="00247973">
            <w:pPr>
              <w:jc w:val="both"/>
              <w:rPr>
                <w:rFonts w:cs="Arial"/>
              </w:rPr>
            </w:pPr>
            <w:r w:rsidRPr="00A47208">
              <w:rPr>
                <w:rFonts w:cs="Arial"/>
              </w:rPr>
              <w:tab/>
            </w:r>
            <w:r w:rsidRPr="00A47208">
              <w:rPr>
                <w:rFonts w:cs="Arial"/>
              </w:rPr>
              <w:tab/>
            </w:r>
            <w:r w:rsidRPr="00A47208">
              <w:rPr>
                <w:rFonts w:cs="Arial"/>
              </w:rPr>
              <w:tab/>
            </w:r>
            <w:r w:rsidRPr="00A47208">
              <w:rPr>
                <w:rFonts w:cs="Arial"/>
              </w:rPr>
              <w:tab/>
              <w:t>0.45% w/v</w:t>
            </w:r>
          </w:p>
        </w:tc>
      </w:tr>
      <w:tr w:rsidR="00AF7FB0" w:rsidRPr="00A47208" w14:paraId="19D74E6A" w14:textId="77777777" w:rsidTr="00315ACD">
        <w:trPr>
          <w:trHeight w:val="2283"/>
        </w:trPr>
        <w:tc>
          <w:tcPr>
            <w:tcW w:w="2299" w:type="dxa"/>
          </w:tcPr>
          <w:p w14:paraId="2C6B1162" w14:textId="4DCCA5AD" w:rsidR="00AF7FB0" w:rsidRDefault="00AF7FB0" w:rsidP="00247973">
            <w:pPr>
              <w:rPr>
                <w:rFonts w:cs="Arial"/>
              </w:rPr>
            </w:pPr>
            <w:r>
              <w:rPr>
                <w:rFonts w:cs="Arial"/>
              </w:rPr>
              <w:t>Potassium chloride 0.2%w/v</w:t>
            </w:r>
          </w:p>
          <w:p w14:paraId="228699F8" w14:textId="77777777" w:rsidR="00AF7FB0" w:rsidRPr="00A47208" w:rsidRDefault="00AF7FB0" w:rsidP="00247973">
            <w:pPr>
              <w:rPr>
                <w:rFonts w:cs="Arial"/>
              </w:rPr>
            </w:pPr>
          </w:p>
        </w:tc>
        <w:tc>
          <w:tcPr>
            <w:tcW w:w="2440" w:type="dxa"/>
          </w:tcPr>
          <w:p w14:paraId="20CD8FDE" w14:textId="5C75A770" w:rsidR="00AF7FB0" w:rsidRDefault="00AF7FB0" w:rsidP="00315ACD">
            <w:pPr>
              <w:jc w:val="both"/>
              <w:rPr>
                <w:rFonts w:cs="Arial"/>
              </w:rPr>
            </w:pPr>
            <w:r>
              <w:rPr>
                <w:rFonts w:cs="Arial"/>
              </w:rPr>
              <w:t>27mmol in 1 litre bag</w:t>
            </w:r>
          </w:p>
          <w:p w14:paraId="09150A26" w14:textId="6BE4CFD9" w:rsidR="00AF7FB0" w:rsidRDefault="00AF7FB0" w:rsidP="00AF7FB0">
            <w:pPr>
              <w:jc w:val="both"/>
              <w:rPr>
                <w:rFonts w:cs="Arial"/>
              </w:rPr>
            </w:pPr>
            <w:r>
              <w:rPr>
                <w:rFonts w:cs="Arial"/>
              </w:rPr>
              <w:t>13.3mmol in 500ml bag</w:t>
            </w:r>
          </w:p>
          <w:p w14:paraId="073306C2" w14:textId="77777777" w:rsidR="00AF7FB0" w:rsidRPr="00A47208" w:rsidRDefault="00AF7FB0" w:rsidP="00315ACD">
            <w:pPr>
              <w:jc w:val="both"/>
              <w:rPr>
                <w:rFonts w:cs="Arial"/>
              </w:rPr>
            </w:pPr>
          </w:p>
        </w:tc>
        <w:tc>
          <w:tcPr>
            <w:tcW w:w="4441" w:type="dxa"/>
          </w:tcPr>
          <w:p w14:paraId="4B9707BC" w14:textId="0140E097" w:rsidR="00AF7FB0" w:rsidRDefault="00AF7FB0" w:rsidP="00315ACD">
            <w:pPr>
              <w:jc w:val="both"/>
              <w:rPr>
                <w:rFonts w:cs="Arial"/>
              </w:rPr>
            </w:pPr>
            <w:r>
              <w:rPr>
                <w:rFonts w:cs="Arial"/>
              </w:rPr>
              <w:t>Sodium chloride 0.9% w/v</w:t>
            </w:r>
          </w:p>
          <w:p w14:paraId="7C10872B" w14:textId="30F4BFF2" w:rsidR="00D576E3" w:rsidRDefault="00D576E3" w:rsidP="00315ACD">
            <w:pPr>
              <w:jc w:val="both"/>
              <w:rPr>
                <w:rFonts w:cs="Arial"/>
              </w:rPr>
            </w:pPr>
          </w:p>
          <w:p w14:paraId="211E6E97" w14:textId="68260D2A" w:rsidR="00D576E3" w:rsidRDefault="00D576E3" w:rsidP="00315ACD">
            <w:pPr>
              <w:jc w:val="both"/>
              <w:rPr>
                <w:rFonts w:cs="Arial"/>
              </w:rPr>
            </w:pPr>
            <w:r>
              <w:rPr>
                <w:rFonts w:cs="Arial"/>
              </w:rPr>
              <w:t>Glucose 5% w/v</w:t>
            </w:r>
          </w:p>
          <w:p w14:paraId="278554F9" w14:textId="16D3F4CE" w:rsidR="00D576E3" w:rsidRDefault="00D576E3" w:rsidP="00315ACD">
            <w:pPr>
              <w:jc w:val="both"/>
              <w:rPr>
                <w:rFonts w:cs="Arial"/>
              </w:rPr>
            </w:pPr>
          </w:p>
          <w:p w14:paraId="41199E30" w14:textId="6424B85F" w:rsidR="00D576E3" w:rsidRPr="00A47208" w:rsidRDefault="00D576E3" w:rsidP="00D576E3">
            <w:pPr>
              <w:jc w:val="both"/>
              <w:rPr>
                <w:rFonts w:cs="Arial"/>
              </w:rPr>
            </w:pPr>
            <w:r w:rsidRPr="00A47208">
              <w:rPr>
                <w:rFonts w:cs="Arial"/>
              </w:rPr>
              <w:t xml:space="preserve">Glucose 4% w/v with sodium chloride </w:t>
            </w:r>
          </w:p>
          <w:p w14:paraId="1F65A77E" w14:textId="032B7033" w:rsidR="00D576E3" w:rsidRPr="00A47208" w:rsidRDefault="00D576E3" w:rsidP="00D576E3">
            <w:pPr>
              <w:jc w:val="both"/>
              <w:rPr>
                <w:rFonts w:cs="Arial"/>
              </w:rPr>
            </w:pPr>
            <w:r w:rsidRPr="00A47208">
              <w:rPr>
                <w:rFonts w:cs="Arial"/>
              </w:rPr>
              <w:tab/>
            </w:r>
            <w:r w:rsidRPr="00A47208">
              <w:rPr>
                <w:rFonts w:cs="Arial"/>
              </w:rPr>
              <w:tab/>
            </w:r>
            <w:r w:rsidRPr="00A47208">
              <w:rPr>
                <w:rFonts w:cs="Arial"/>
              </w:rPr>
              <w:tab/>
            </w:r>
            <w:r w:rsidRPr="00A47208">
              <w:rPr>
                <w:rFonts w:cs="Arial"/>
              </w:rPr>
              <w:tab/>
              <w:t xml:space="preserve">0.18% w/v </w:t>
            </w:r>
          </w:p>
        </w:tc>
      </w:tr>
      <w:tr w:rsidR="003469E1" w:rsidRPr="00A47208" w14:paraId="53A16EDA" w14:textId="77777777" w:rsidTr="00247973">
        <w:trPr>
          <w:trHeight w:val="2826"/>
        </w:trPr>
        <w:tc>
          <w:tcPr>
            <w:tcW w:w="2299" w:type="dxa"/>
          </w:tcPr>
          <w:p w14:paraId="73E7F07A" w14:textId="77777777" w:rsidR="003469E1" w:rsidRPr="00A47208" w:rsidRDefault="003469E1" w:rsidP="00247973">
            <w:pPr>
              <w:rPr>
                <w:rFonts w:cs="Arial"/>
              </w:rPr>
            </w:pPr>
            <w:r w:rsidRPr="00A47208">
              <w:rPr>
                <w:rFonts w:cs="Arial"/>
              </w:rPr>
              <w:t>Potassium chloride 0.3% w/v</w:t>
            </w:r>
          </w:p>
        </w:tc>
        <w:tc>
          <w:tcPr>
            <w:tcW w:w="2440" w:type="dxa"/>
          </w:tcPr>
          <w:p w14:paraId="24016C76" w14:textId="77777777" w:rsidR="003469E1" w:rsidRPr="00A47208" w:rsidRDefault="003469E1" w:rsidP="00315ACD">
            <w:pPr>
              <w:jc w:val="both"/>
              <w:rPr>
                <w:rFonts w:cs="Arial"/>
              </w:rPr>
            </w:pPr>
            <w:r w:rsidRPr="00A47208">
              <w:rPr>
                <w:rFonts w:cs="Arial"/>
              </w:rPr>
              <w:t>40mmol in 1 litre bag</w:t>
            </w:r>
          </w:p>
          <w:p w14:paraId="65AAB352" w14:textId="77777777" w:rsidR="003469E1" w:rsidRPr="00A47208" w:rsidRDefault="003469E1" w:rsidP="00315ACD">
            <w:pPr>
              <w:jc w:val="both"/>
              <w:rPr>
                <w:rFonts w:cs="Arial"/>
              </w:rPr>
            </w:pPr>
            <w:r w:rsidRPr="00A47208">
              <w:rPr>
                <w:rFonts w:cs="Arial"/>
              </w:rPr>
              <w:t>20mmol in 500ml bag</w:t>
            </w:r>
          </w:p>
        </w:tc>
        <w:tc>
          <w:tcPr>
            <w:tcW w:w="4441" w:type="dxa"/>
          </w:tcPr>
          <w:p w14:paraId="60AE436D" w14:textId="77777777" w:rsidR="003469E1" w:rsidRPr="00A47208" w:rsidRDefault="003469E1" w:rsidP="00315ACD">
            <w:pPr>
              <w:jc w:val="both"/>
              <w:rPr>
                <w:rFonts w:cs="Arial"/>
              </w:rPr>
            </w:pPr>
            <w:r w:rsidRPr="00A47208">
              <w:rPr>
                <w:rFonts w:cs="Arial"/>
              </w:rPr>
              <w:t>Sodium chloride 0.9% w/v</w:t>
            </w:r>
          </w:p>
          <w:p w14:paraId="185DA95B" w14:textId="77777777" w:rsidR="003469E1" w:rsidRPr="00A47208" w:rsidRDefault="003469E1" w:rsidP="00315ACD">
            <w:pPr>
              <w:jc w:val="both"/>
              <w:rPr>
                <w:rFonts w:cs="Arial"/>
              </w:rPr>
            </w:pPr>
          </w:p>
          <w:p w14:paraId="5C36CC18" w14:textId="77777777" w:rsidR="003469E1" w:rsidRPr="00A47208" w:rsidRDefault="003469E1" w:rsidP="00315ACD">
            <w:pPr>
              <w:jc w:val="both"/>
              <w:rPr>
                <w:rFonts w:cs="Arial"/>
              </w:rPr>
            </w:pPr>
            <w:r w:rsidRPr="00A47208">
              <w:rPr>
                <w:rFonts w:cs="Arial"/>
              </w:rPr>
              <w:t>Glucose 5% w/v</w:t>
            </w:r>
          </w:p>
          <w:p w14:paraId="3D408BDC" w14:textId="77777777" w:rsidR="003469E1" w:rsidRPr="00A47208" w:rsidRDefault="003469E1" w:rsidP="00315ACD">
            <w:pPr>
              <w:jc w:val="both"/>
              <w:rPr>
                <w:rFonts w:cs="Arial"/>
              </w:rPr>
            </w:pPr>
          </w:p>
          <w:p w14:paraId="70425A46" w14:textId="77777777" w:rsidR="003469E1" w:rsidRPr="00A47208" w:rsidRDefault="003469E1" w:rsidP="00315ACD">
            <w:pPr>
              <w:jc w:val="both"/>
              <w:rPr>
                <w:rFonts w:cs="Arial"/>
              </w:rPr>
            </w:pPr>
            <w:r w:rsidRPr="00A47208">
              <w:rPr>
                <w:rFonts w:cs="Arial"/>
              </w:rPr>
              <w:t xml:space="preserve">Glucose 4% w/v with sodium chloride </w:t>
            </w:r>
          </w:p>
          <w:p w14:paraId="6EE7F4A6" w14:textId="14142C67" w:rsidR="003469E1" w:rsidRPr="00A47208" w:rsidRDefault="003469E1" w:rsidP="00D576E3">
            <w:pPr>
              <w:jc w:val="both"/>
              <w:rPr>
                <w:rFonts w:cs="Arial"/>
              </w:rPr>
            </w:pPr>
            <w:r w:rsidRPr="00A47208">
              <w:rPr>
                <w:rFonts w:cs="Arial"/>
              </w:rPr>
              <w:tab/>
            </w:r>
            <w:r w:rsidRPr="00A47208">
              <w:rPr>
                <w:rFonts w:cs="Arial"/>
              </w:rPr>
              <w:tab/>
            </w:r>
            <w:r w:rsidRPr="00A47208">
              <w:rPr>
                <w:rFonts w:cs="Arial"/>
              </w:rPr>
              <w:tab/>
            </w:r>
            <w:r w:rsidRPr="00A47208">
              <w:rPr>
                <w:rFonts w:cs="Arial"/>
              </w:rPr>
              <w:tab/>
              <w:t>0.18% w/v</w:t>
            </w:r>
          </w:p>
        </w:tc>
      </w:tr>
    </w:tbl>
    <w:p w14:paraId="7326866C" w14:textId="77777777" w:rsidR="003469E1" w:rsidRPr="008E4B76" w:rsidRDefault="003469E1" w:rsidP="003469E1">
      <w:pPr>
        <w:jc w:val="both"/>
        <w:rPr>
          <w:rFonts w:cs="Arial"/>
        </w:rPr>
      </w:pPr>
    </w:p>
    <w:p w14:paraId="27FFC649" w14:textId="1B48E04D" w:rsidR="003469E1" w:rsidRPr="008E4B76" w:rsidRDefault="00484AEE" w:rsidP="00863C6F">
      <w:pPr>
        <w:rPr>
          <w:rFonts w:cs="Arial"/>
        </w:rPr>
      </w:pPr>
      <w:r>
        <w:t>R</w:t>
      </w:r>
      <w:r w:rsidR="00AC4870" w:rsidRPr="00863C6F">
        <w:t xml:space="preserve">eady-mixed infusion solutions should be used where possible.  In exceptional circumstances where there is a requirement for potassium solution in a dilution which is not </w:t>
      </w:r>
      <w:r w:rsidR="00AC4870" w:rsidRPr="00A06450">
        <w:t xml:space="preserve">commercially available, </w:t>
      </w:r>
      <w:r w:rsidR="003469E1" w:rsidRPr="0095529A">
        <w:rPr>
          <w:rFonts w:cs="Arial"/>
        </w:rPr>
        <w:t xml:space="preserve">potassium chloride concentrate as ampoules containing 1.5 grams (20mmol potassium) in 10ml may be </w:t>
      </w:r>
      <w:r w:rsidR="007A358C">
        <w:rPr>
          <w:rFonts w:cs="Arial"/>
        </w:rPr>
        <w:t xml:space="preserve">thoroughly mixed with </w:t>
      </w:r>
      <w:r w:rsidR="003469E1" w:rsidRPr="0095529A">
        <w:rPr>
          <w:rFonts w:cs="Arial"/>
        </w:rPr>
        <w:t>500ml of sodium chloride 0.9% intravenous infusion and given slowly over two to three hours with specialist advice and electrocardiography (ECG) monitoring in difficult cases (</w:t>
      </w:r>
      <w:r w:rsidR="003469E1">
        <w:rPr>
          <w:rFonts w:cs="Arial"/>
        </w:rPr>
        <w:t>10</w:t>
      </w:r>
      <w:r w:rsidR="003469E1" w:rsidRPr="0095529A">
        <w:rPr>
          <w:rFonts w:cs="Arial"/>
        </w:rPr>
        <w:t>). It is essential that the bag is squeeze</w:t>
      </w:r>
      <w:r w:rsidR="007A358C">
        <w:rPr>
          <w:rFonts w:cs="Arial"/>
        </w:rPr>
        <w:t>d</w:t>
      </w:r>
      <w:r w:rsidR="003469E1" w:rsidRPr="0095529A">
        <w:rPr>
          <w:rFonts w:cs="Arial"/>
        </w:rPr>
        <w:t xml:space="preserve"> and invert</w:t>
      </w:r>
      <w:r w:rsidR="007A358C">
        <w:rPr>
          <w:rFonts w:cs="Arial"/>
        </w:rPr>
        <w:t>ed</w:t>
      </w:r>
      <w:r w:rsidR="003469E1" w:rsidRPr="0095529A">
        <w:rPr>
          <w:rFonts w:cs="Arial"/>
        </w:rPr>
        <w:t xml:space="preserve"> at least ten times (1</w:t>
      </w:r>
      <w:r w:rsidR="003469E1">
        <w:rPr>
          <w:rFonts w:cs="Arial"/>
        </w:rPr>
        <w:t>1</w:t>
      </w:r>
      <w:r w:rsidR="003469E1" w:rsidRPr="0095529A">
        <w:rPr>
          <w:rFonts w:cs="Arial"/>
        </w:rPr>
        <w:t>) prior to administration as incomplete mixing can lead to the administration of high bolus doses of potassium, which can cause cardiac arrest.</w:t>
      </w:r>
    </w:p>
    <w:p w14:paraId="1A66AB79" w14:textId="77777777" w:rsidR="003469E1" w:rsidRPr="008E4B76" w:rsidRDefault="003469E1" w:rsidP="003469E1">
      <w:pPr>
        <w:jc w:val="both"/>
        <w:rPr>
          <w:rFonts w:cs="Arial"/>
          <w:b/>
        </w:rPr>
      </w:pPr>
      <w:r w:rsidRPr="008E4B76">
        <w:rPr>
          <w:rFonts w:cs="Arial"/>
          <w:b/>
        </w:rPr>
        <w:t>Infusion concentration and rate</w:t>
      </w:r>
    </w:p>
    <w:p w14:paraId="6FCD0956" w14:textId="61185EB9" w:rsidR="003469E1" w:rsidRPr="008E4B76" w:rsidRDefault="003469E1" w:rsidP="003469E1">
      <w:pPr>
        <w:jc w:val="both"/>
        <w:rPr>
          <w:rFonts w:cs="Arial"/>
        </w:rPr>
      </w:pPr>
      <w:r w:rsidRPr="005921DA">
        <w:rPr>
          <w:rFonts w:cs="Arial"/>
        </w:rPr>
        <w:t xml:space="preserve">The infusion site should be checked on a </w:t>
      </w:r>
      <w:r w:rsidRPr="002073F7">
        <w:rPr>
          <w:rFonts w:cs="Arial"/>
        </w:rPr>
        <w:t>regular</w:t>
      </w:r>
      <w:r>
        <w:rPr>
          <w:rFonts w:cs="Arial"/>
        </w:rPr>
        <w:t xml:space="preserve"> </w:t>
      </w:r>
      <w:r w:rsidRPr="005921DA">
        <w:rPr>
          <w:rFonts w:cs="Arial"/>
        </w:rPr>
        <w:t>basis for signs of redness and inflammation. Extreme</w:t>
      </w:r>
      <w:r w:rsidRPr="00327317">
        <w:rPr>
          <w:rFonts w:cs="Arial"/>
        </w:rPr>
        <w:t xml:space="preserve"> care must be taken to avoid extravasation. </w:t>
      </w:r>
      <w:r w:rsidR="00CB5B52">
        <w:rPr>
          <w:rFonts w:cs="Arial"/>
        </w:rPr>
        <w:t>F</w:t>
      </w:r>
      <w:r w:rsidR="00CB5B52" w:rsidRPr="00327317">
        <w:rPr>
          <w:rFonts w:cs="Arial"/>
        </w:rPr>
        <w:t>or intravenous administration via a peripheral line</w:t>
      </w:r>
      <w:r w:rsidR="00CB5B52">
        <w:rPr>
          <w:rFonts w:cs="Arial"/>
        </w:rPr>
        <w:t>,</w:t>
      </w:r>
      <w:r w:rsidR="00CB5B52" w:rsidRPr="00327317">
        <w:rPr>
          <w:rFonts w:cs="Arial"/>
        </w:rPr>
        <w:t xml:space="preserve"> the concentration of potassium should not exceed 40mmol/L (1</w:t>
      </w:r>
      <w:r w:rsidR="00D34413">
        <w:rPr>
          <w:rFonts w:cs="Arial"/>
        </w:rPr>
        <w:t>2</w:t>
      </w:r>
      <w:r w:rsidR="00CB5B52" w:rsidRPr="00327317">
        <w:rPr>
          <w:rFonts w:cs="Arial"/>
        </w:rPr>
        <w:t xml:space="preserve">), as higher strengths can cause phlebitis and pain. </w:t>
      </w:r>
      <w:r w:rsidR="00CB5B52">
        <w:rPr>
          <w:rFonts w:cs="Arial"/>
        </w:rPr>
        <w:t xml:space="preserve">Administration should be via a volumetric infusion </w:t>
      </w:r>
      <w:r w:rsidR="00CB5B52" w:rsidRPr="005921DA">
        <w:rPr>
          <w:rFonts w:cs="Arial"/>
        </w:rPr>
        <w:t>pump (1</w:t>
      </w:r>
      <w:r w:rsidR="00CB5B52">
        <w:rPr>
          <w:rFonts w:cs="Arial"/>
        </w:rPr>
        <w:t>1</w:t>
      </w:r>
      <w:r w:rsidR="00CB5B52" w:rsidRPr="005921DA">
        <w:rPr>
          <w:rFonts w:cs="Arial"/>
        </w:rPr>
        <w:t xml:space="preserve">). </w:t>
      </w:r>
      <w:r w:rsidR="00CB5B52">
        <w:rPr>
          <w:rFonts w:cs="Arial"/>
        </w:rPr>
        <w:t xml:space="preserve"> However, other guide have suggested that concentrations exceeding 40mmol/L can be given peripherally in emergency situations, through a large vein, but this must be guided by a consultant using appropriate monitoring (1</w:t>
      </w:r>
      <w:r w:rsidR="00D34413">
        <w:rPr>
          <w:rFonts w:cs="Arial"/>
        </w:rPr>
        <w:t>3</w:t>
      </w:r>
      <w:r w:rsidR="00CB5B52">
        <w:rPr>
          <w:rFonts w:cs="Arial"/>
        </w:rPr>
        <w:t xml:space="preserve">). </w:t>
      </w:r>
      <w:r w:rsidRPr="00327317">
        <w:rPr>
          <w:rFonts w:cs="Arial"/>
        </w:rPr>
        <w:t xml:space="preserve">Administration via the </w:t>
      </w:r>
      <w:r w:rsidRPr="002A64AB">
        <w:rPr>
          <w:rFonts w:cs="Arial"/>
        </w:rPr>
        <w:t>central route avoids the pain and phlebitis associated with peripheral administration</w:t>
      </w:r>
      <w:r w:rsidR="00910667" w:rsidRPr="002A64AB">
        <w:rPr>
          <w:rFonts w:cs="Arial"/>
        </w:rPr>
        <w:t xml:space="preserve"> (5)</w:t>
      </w:r>
      <w:r w:rsidRPr="002A64AB">
        <w:rPr>
          <w:rFonts w:cs="Arial"/>
        </w:rPr>
        <w:t>. Concentrations</w:t>
      </w:r>
      <w:r w:rsidRPr="005F2A4F">
        <w:rPr>
          <w:rFonts w:cs="Arial"/>
        </w:rPr>
        <w:t xml:space="preserve"> </w:t>
      </w:r>
      <w:r w:rsidRPr="002A64AB">
        <w:rPr>
          <w:rFonts w:cs="Arial"/>
        </w:rPr>
        <w:t xml:space="preserve">greater than 40mmol/L </w:t>
      </w:r>
      <w:r w:rsidR="00CB5B52">
        <w:rPr>
          <w:rFonts w:cs="Arial"/>
        </w:rPr>
        <w:t>should</w:t>
      </w:r>
      <w:r w:rsidR="00CB5B52" w:rsidRPr="002A64AB">
        <w:rPr>
          <w:rFonts w:cs="Arial"/>
        </w:rPr>
        <w:t xml:space="preserve"> </w:t>
      </w:r>
      <w:r w:rsidRPr="002A64AB">
        <w:rPr>
          <w:rFonts w:cs="Arial"/>
        </w:rPr>
        <w:t>be given via a central venous catheter, using a suitable infusion pump</w:t>
      </w:r>
      <w:r w:rsidRPr="00327317">
        <w:rPr>
          <w:rFonts w:cs="Arial"/>
        </w:rPr>
        <w:t xml:space="preserve"> (1</w:t>
      </w:r>
      <w:r w:rsidR="00D34413">
        <w:rPr>
          <w:rFonts w:cs="Arial"/>
        </w:rPr>
        <w:t>3</w:t>
      </w:r>
      <w:r w:rsidRPr="00327317">
        <w:rPr>
          <w:rFonts w:cs="Arial"/>
        </w:rPr>
        <w:t>).</w:t>
      </w:r>
      <w:r w:rsidRPr="008E4B76">
        <w:rPr>
          <w:rFonts w:cs="Arial"/>
        </w:rPr>
        <w:t xml:space="preserve"> However it has been commented that high concentrations of potassium given centrally may carry a greater risk of cardiac toxicity if the infusion is carried directly to the heart (</w:t>
      </w:r>
      <w:r>
        <w:rPr>
          <w:rFonts w:cs="Arial"/>
        </w:rPr>
        <w:t>5</w:t>
      </w:r>
      <w:r w:rsidRPr="008E4B76">
        <w:rPr>
          <w:rFonts w:cs="Arial"/>
        </w:rPr>
        <w:t xml:space="preserve">). </w:t>
      </w:r>
    </w:p>
    <w:p w14:paraId="27EC13EA" w14:textId="5E981FD1" w:rsidR="003469E1" w:rsidRPr="008E4B76" w:rsidRDefault="003469E1" w:rsidP="003469E1">
      <w:pPr>
        <w:jc w:val="both"/>
        <w:rPr>
          <w:rFonts w:cs="Arial"/>
        </w:rPr>
      </w:pPr>
      <w:r w:rsidRPr="00327317">
        <w:rPr>
          <w:rFonts w:cs="Arial"/>
        </w:rPr>
        <w:t>In practice, the rate of administration should not normally exceed 10mmol/hour and no more than 20mmol/hour in emergencies.</w:t>
      </w:r>
      <w:r w:rsidRPr="00327317">
        <w:rPr>
          <w:rFonts w:cs="Arial"/>
          <w:vertAlign w:val="superscript"/>
        </w:rPr>
        <w:t xml:space="preserve">   </w:t>
      </w:r>
      <w:r w:rsidRPr="00327317">
        <w:rPr>
          <w:rFonts w:cs="Arial"/>
        </w:rPr>
        <w:t>Administration rates above 20mmol/hour require</w:t>
      </w:r>
      <w:r w:rsidR="00D129F3">
        <w:rPr>
          <w:rFonts w:cs="Arial"/>
        </w:rPr>
        <w:t xml:space="preserve"> </w:t>
      </w:r>
      <w:r w:rsidRPr="00327317">
        <w:rPr>
          <w:rFonts w:cs="Arial"/>
        </w:rPr>
        <w:t xml:space="preserve">cardiac monitoring </w:t>
      </w:r>
      <w:r>
        <w:rPr>
          <w:rFonts w:cs="Arial"/>
        </w:rPr>
        <w:t>(</w:t>
      </w:r>
      <w:r w:rsidRPr="00327317">
        <w:rPr>
          <w:rFonts w:cs="Arial"/>
        </w:rPr>
        <w:t>1</w:t>
      </w:r>
      <w:r>
        <w:rPr>
          <w:rFonts w:cs="Arial"/>
        </w:rPr>
        <w:t>1</w:t>
      </w:r>
      <w:proofErr w:type="gramStart"/>
      <w:r w:rsidRPr="00327317">
        <w:rPr>
          <w:rFonts w:cs="Arial"/>
        </w:rPr>
        <w:t>,1</w:t>
      </w:r>
      <w:r w:rsidR="00D34413">
        <w:rPr>
          <w:rFonts w:cs="Arial"/>
        </w:rPr>
        <w:t>3</w:t>
      </w:r>
      <w:proofErr w:type="gramEnd"/>
      <w:r w:rsidRPr="00327317">
        <w:rPr>
          <w:rFonts w:cs="Arial"/>
        </w:rPr>
        <w:t>).  Administration of potassium at rates faster than recommended may cause cardiac toxicity, including arrhythmias and cardiac arrest (1</w:t>
      </w:r>
      <w:r w:rsidR="00D34413">
        <w:rPr>
          <w:rFonts w:cs="Arial"/>
        </w:rPr>
        <w:t>3</w:t>
      </w:r>
      <w:r w:rsidRPr="00327317">
        <w:rPr>
          <w:rFonts w:cs="Arial"/>
        </w:rPr>
        <w:t>).</w:t>
      </w:r>
      <w:r w:rsidRPr="008E4B76">
        <w:rPr>
          <w:rFonts w:cs="Arial"/>
        </w:rPr>
        <w:t xml:space="preserve"> </w:t>
      </w:r>
    </w:p>
    <w:p w14:paraId="26C4D299" w14:textId="39BAFEDF" w:rsidR="003469E1" w:rsidRPr="008E4B76" w:rsidRDefault="003469E1" w:rsidP="003469E1">
      <w:pPr>
        <w:jc w:val="both"/>
        <w:rPr>
          <w:rFonts w:cs="Arial"/>
        </w:rPr>
      </w:pPr>
      <w:r>
        <w:rPr>
          <w:rFonts w:cs="Arial"/>
        </w:rPr>
        <w:t>Electrolytes should be monitored</w:t>
      </w:r>
      <w:r w:rsidR="00D129F3">
        <w:rPr>
          <w:rFonts w:cs="Arial"/>
        </w:rPr>
        <w:t>. R</w:t>
      </w:r>
      <w:r w:rsidRPr="008E4B76">
        <w:rPr>
          <w:rFonts w:cs="Arial"/>
        </w:rPr>
        <w:t>epeated measurements of serum potassium are necessary to determine whether further infusions are required, and to avoid the development of hyperkalaemia; this is especially liable to occur in renal impairment (</w:t>
      </w:r>
      <w:r w:rsidR="00CB5B52">
        <w:rPr>
          <w:rFonts w:cs="Arial"/>
        </w:rPr>
        <w:t>14</w:t>
      </w:r>
      <w:r w:rsidRPr="008E4B76">
        <w:rPr>
          <w:rFonts w:cs="Arial"/>
        </w:rPr>
        <w:t>).</w:t>
      </w:r>
      <w:r>
        <w:rPr>
          <w:rFonts w:cs="Arial"/>
        </w:rPr>
        <w:t xml:space="preserve"> All patients with hypokalaemia should have a magnesium level checked because of the strong correlation between hypomagnesaemia and hypokalaemia (2). </w:t>
      </w:r>
      <w:r w:rsidR="00934C6D" w:rsidRPr="00247973">
        <w:rPr>
          <w:rFonts w:cs="Arial"/>
          <w:szCs w:val="20"/>
        </w:rPr>
        <w:t>If the patient is acidotic, correct the potassium first to prevent an alkali-induced shift of potassium into the cells</w:t>
      </w:r>
      <w:r w:rsidR="00791F19">
        <w:rPr>
          <w:rFonts w:cs="Arial"/>
          <w:szCs w:val="20"/>
        </w:rPr>
        <w:t xml:space="preserve"> (</w:t>
      </w:r>
      <w:r w:rsidR="00CB5B52">
        <w:rPr>
          <w:rFonts w:cs="Arial"/>
          <w:szCs w:val="20"/>
        </w:rPr>
        <w:t>15</w:t>
      </w:r>
      <w:r w:rsidR="00791F19">
        <w:rPr>
          <w:rFonts w:cs="Arial"/>
          <w:szCs w:val="20"/>
        </w:rPr>
        <w:t>)</w:t>
      </w:r>
      <w:r w:rsidR="00934C6D" w:rsidRPr="00247973">
        <w:rPr>
          <w:rFonts w:cs="Arial"/>
          <w:szCs w:val="20"/>
        </w:rPr>
        <w:t>.</w:t>
      </w:r>
    </w:p>
    <w:p w14:paraId="67D00235" w14:textId="181E16FF" w:rsidR="003469E1" w:rsidRPr="00BF4269" w:rsidRDefault="00BF4269" w:rsidP="00BF4269">
      <w:pPr>
        <w:jc w:val="both"/>
        <w:rPr>
          <w:rFonts w:cs="Arial"/>
          <w:szCs w:val="20"/>
          <w:lang w:val="en-US"/>
        </w:rPr>
      </w:pPr>
      <w:r w:rsidRPr="00BF4269">
        <w:rPr>
          <w:rFonts w:cs="Arial"/>
          <w:szCs w:val="20"/>
        </w:rPr>
        <w:t>Once the hypokal</w:t>
      </w:r>
      <w:r>
        <w:rPr>
          <w:rFonts w:cs="Arial"/>
          <w:szCs w:val="20"/>
        </w:rPr>
        <w:t>a</w:t>
      </w:r>
      <w:r w:rsidRPr="00BF4269">
        <w:rPr>
          <w:rFonts w:cs="Arial"/>
          <w:szCs w:val="20"/>
        </w:rPr>
        <w:t xml:space="preserve">emia is no longer severe, the rate of intravenous potassium repletion should be reduced or changed to oral therapy. Patients should be treated until the serum potassium concentration is persistently above 3.0 to 3.5 </w:t>
      </w:r>
      <w:proofErr w:type="spellStart"/>
      <w:r>
        <w:rPr>
          <w:rStyle w:val="nowrap1"/>
          <w:rFonts w:cs="Arial"/>
          <w:szCs w:val="20"/>
        </w:rPr>
        <w:t>mmol</w:t>
      </w:r>
      <w:proofErr w:type="spellEnd"/>
      <w:r w:rsidRPr="00BF4269">
        <w:rPr>
          <w:rStyle w:val="nowrap1"/>
          <w:rFonts w:cs="Arial"/>
          <w:szCs w:val="20"/>
        </w:rPr>
        <w:t>/L</w:t>
      </w:r>
      <w:r w:rsidRPr="00BF4269">
        <w:rPr>
          <w:rFonts w:cs="Arial"/>
          <w:szCs w:val="20"/>
        </w:rPr>
        <w:t xml:space="preserve"> and symptoms or signs attributable to hypokal</w:t>
      </w:r>
      <w:r>
        <w:rPr>
          <w:rFonts w:cs="Arial"/>
          <w:szCs w:val="20"/>
        </w:rPr>
        <w:t>a</w:t>
      </w:r>
      <w:r w:rsidRPr="00BF4269">
        <w:rPr>
          <w:rFonts w:cs="Arial"/>
          <w:szCs w:val="20"/>
        </w:rPr>
        <w:t>emia have resolved</w:t>
      </w:r>
      <w:r w:rsidR="00791F19">
        <w:rPr>
          <w:rFonts w:cs="Arial"/>
          <w:szCs w:val="20"/>
        </w:rPr>
        <w:t xml:space="preserve"> (</w:t>
      </w:r>
      <w:r w:rsidR="00CB5B52">
        <w:rPr>
          <w:rFonts w:cs="Arial"/>
          <w:szCs w:val="20"/>
        </w:rPr>
        <w:t>16</w:t>
      </w:r>
      <w:r w:rsidR="00791F19">
        <w:rPr>
          <w:rFonts w:cs="Arial"/>
          <w:szCs w:val="20"/>
        </w:rPr>
        <w:t>).</w:t>
      </w:r>
    </w:p>
    <w:p w14:paraId="31F1A829" w14:textId="77777777" w:rsidR="00427F92" w:rsidRDefault="00427F92" w:rsidP="00427F92">
      <w:pPr>
        <w:pStyle w:val="Heading2"/>
        <w:rPr>
          <w:rFonts w:cs="Arial"/>
        </w:rPr>
      </w:pPr>
      <w:r w:rsidRPr="009752DF">
        <w:rPr>
          <w:rFonts w:cs="Arial"/>
        </w:rPr>
        <w:t>Summary</w:t>
      </w:r>
    </w:p>
    <w:p w14:paraId="1ECCFEDE" w14:textId="77777777" w:rsidR="003469E1" w:rsidRPr="00327317" w:rsidRDefault="003469E1" w:rsidP="003469E1">
      <w:pPr>
        <w:numPr>
          <w:ilvl w:val="0"/>
          <w:numId w:val="12"/>
        </w:numPr>
        <w:spacing w:after="0" w:line="240" w:lineRule="auto"/>
        <w:jc w:val="both"/>
        <w:rPr>
          <w:rFonts w:cs="Arial"/>
        </w:rPr>
      </w:pPr>
      <w:r w:rsidRPr="00327317">
        <w:rPr>
          <w:rFonts w:cs="Arial"/>
        </w:rPr>
        <w:t xml:space="preserve">Potassium administration via the intravenous route should only be used when the oral or enteral route is not available or will not achieve the required increase of serum potassium within a clinically acceptable time. </w:t>
      </w:r>
    </w:p>
    <w:p w14:paraId="395A598C" w14:textId="77777777" w:rsidR="003469E1" w:rsidRPr="00327317" w:rsidRDefault="003469E1" w:rsidP="003469E1">
      <w:pPr>
        <w:numPr>
          <w:ilvl w:val="0"/>
          <w:numId w:val="12"/>
        </w:numPr>
        <w:spacing w:after="0" w:line="240" w:lineRule="auto"/>
        <w:jc w:val="both"/>
        <w:rPr>
          <w:rFonts w:cs="Arial"/>
        </w:rPr>
      </w:pPr>
      <w:r w:rsidRPr="00327317">
        <w:rPr>
          <w:rFonts w:cs="Arial"/>
        </w:rPr>
        <w:t xml:space="preserve">Wherever possible commercially available ready to use diluted solutions should be prescribed and used. </w:t>
      </w:r>
    </w:p>
    <w:p w14:paraId="5A2A33F6" w14:textId="77777777" w:rsidR="003469E1" w:rsidRDefault="003469E1" w:rsidP="003469E1">
      <w:pPr>
        <w:numPr>
          <w:ilvl w:val="0"/>
          <w:numId w:val="12"/>
        </w:numPr>
        <w:spacing w:after="0" w:line="240" w:lineRule="auto"/>
        <w:jc w:val="both"/>
        <w:rPr>
          <w:rFonts w:cs="Arial"/>
        </w:rPr>
      </w:pPr>
      <w:r w:rsidRPr="00327317">
        <w:rPr>
          <w:rFonts w:cs="Arial"/>
        </w:rPr>
        <w:t>During initial replacement it may be preferable to use premixed infusions that are glucose-free.</w:t>
      </w:r>
    </w:p>
    <w:p w14:paraId="201857FC" w14:textId="77777777" w:rsidR="003469E1" w:rsidRPr="00327317" w:rsidRDefault="003469E1" w:rsidP="003469E1">
      <w:pPr>
        <w:numPr>
          <w:ilvl w:val="0"/>
          <w:numId w:val="12"/>
        </w:numPr>
        <w:spacing w:after="0" w:line="240" w:lineRule="auto"/>
        <w:jc w:val="both"/>
        <w:rPr>
          <w:rFonts w:cs="Arial"/>
        </w:rPr>
      </w:pPr>
      <w:r>
        <w:rPr>
          <w:rFonts w:cs="Arial"/>
        </w:rPr>
        <w:t>Administration should be via a volumetric infusion pump.</w:t>
      </w:r>
    </w:p>
    <w:p w14:paraId="60F41C70" w14:textId="77777777" w:rsidR="003469E1" w:rsidRPr="00327317" w:rsidRDefault="003469E1" w:rsidP="003469E1">
      <w:pPr>
        <w:numPr>
          <w:ilvl w:val="0"/>
          <w:numId w:val="12"/>
        </w:numPr>
        <w:spacing w:after="0" w:line="240" w:lineRule="auto"/>
        <w:jc w:val="both"/>
        <w:rPr>
          <w:rFonts w:cs="Arial"/>
        </w:rPr>
      </w:pPr>
      <w:r w:rsidRPr="00327317">
        <w:rPr>
          <w:rFonts w:cs="Arial"/>
        </w:rPr>
        <w:t xml:space="preserve">The concentration of potassium for intravenous administration via a peripheral line should not exceed 40mmol/L, as higher strengths can cause phlebitis and pain. </w:t>
      </w:r>
    </w:p>
    <w:p w14:paraId="0FF3CFE1" w14:textId="77777777" w:rsidR="003469E1" w:rsidRPr="00327317" w:rsidRDefault="003469E1" w:rsidP="003469E1">
      <w:pPr>
        <w:numPr>
          <w:ilvl w:val="0"/>
          <w:numId w:val="12"/>
        </w:numPr>
        <w:spacing w:after="0" w:line="240" w:lineRule="auto"/>
        <w:jc w:val="both"/>
        <w:rPr>
          <w:rFonts w:cs="Arial"/>
        </w:rPr>
      </w:pPr>
      <w:r w:rsidRPr="00327317">
        <w:rPr>
          <w:rFonts w:cs="Arial"/>
        </w:rPr>
        <w:t xml:space="preserve">The infusion site should be checked </w:t>
      </w:r>
      <w:r>
        <w:rPr>
          <w:rFonts w:cs="Arial"/>
        </w:rPr>
        <w:t>regularly</w:t>
      </w:r>
      <w:r w:rsidRPr="00327317">
        <w:rPr>
          <w:rFonts w:cs="Arial"/>
        </w:rPr>
        <w:t xml:space="preserve"> for redness and inflammation.</w:t>
      </w:r>
    </w:p>
    <w:p w14:paraId="177AA064" w14:textId="77777777" w:rsidR="003469E1" w:rsidRPr="00327317" w:rsidRDefault="003469E1" w:rsidP="003469E1">
      <w:pPr>
        <w:numPr>
          <w:ilvl w:val="0"/>
          <w:numId w:val="12"/>
        </w:numPr>
        <w:spacing w:after="0" w:line="240" w:lineRule="auto"/>
        <w:jc w:val="both"/>
        <w:rPr>
          <w:rFonts w:cs="Arial"/>
        </w:rPr>
      </w:pPr>
      <w:r w:rsidRPr="00327317">
        <w:rPr>
          <w:rFonts w:cs="Arial"/>
        </w:rPr>
        <w:t>Higher concentrations have been given in severe cases of hypokalaemia but should be given via the central venous route and require infusion pump control.</w:t>
      </w:r>
    </w:p>
    <w:p w14:paraId="5667D1E7" w14:textId="2548781F" w:rsidR="003469E1" w:rsidRPr="00327317" w:rsidRDefault="003469E1" w:rsidP="003469E1">
      <w:pPr>
        <w:numPr>
          <w:ilvl w:val="0"/>
          <w:numId w:val="12"/>
        </w:numPr>
        <w:spacing w:after="0" w:line="240" w:lineRule="auto"/>
        <w:jc w:val="both"/>
        <w:rPr>
          <w:rFonts w:cs="Arial"/>
        </w:rPr>
      </w:pPr>
      <w:r w:rsidRPr="00327317">
        <w:rPr>
          <w:rFonts w:cs="Arial"/>
        </w:rPr>
        <w:t>The rate of administration should not normally exceed 10mmol/hour</w:t>
      </w:r>
      <w:r w:rsidR="005F2A4F">
        <w:rPr>
          <w:rFonts w:cs="Arial"/>
        </w:rPr>
        <w:t>.</w:t>
      </w:r>
    </w:p>
    <w:p w14:paraId="67EC5FE2" w14:textId="77777777" w:rsidR="003469E1" w:rsidRPr="00327317" w:rsidRDefault="003469E1" w:rsidP="003469E1">
      <w:pPr>
        <w:numPr>
          <w:ilvl w:val="0"/>
          <w:numId w:val="12"/>
        </w:numPr>
        <w:spacing w:after="0" w:line="240" w:lineRule="auto"/>
        <w:jc w:val="both"/>
        <w:rPr>
          <w:rFonts w:cs="Arial"/>
        </w:rPr>
      </w:pPr>
      <w:r>
        <w:rPr>
          <w:rFonts w:cs="Arial"/>
        </w:rPr>
        <w:t>A</w:t>
      </w:r>
      <w:r w:rsidRPr="00327317">
        <w:rPr>
          <w:rFonts w:cs="Arial"/>
        </w:rPr>
        <w:t>dministration</w:t>
      </w:r>
      <w:r>
        <w:rPr>
          <w:rFonts w:cs="Arial"/>
        </w:rPr>
        <w:t xml:space="preserve"> rates above 20mmol/hour</w:t>
      </w:r>
      <w:r w:rsidRPr="00327317">
        <w:rPr>
          <w:rFonts w:cs="Arial"/>
        </w:rPr>
        <w:t xml:space="preserve"> require cardiac monitoring. </w:t>
      </w:r>
    </w:p>
    <w:p w14:paraId="7227608D" w14:textId="77777777" w:rsidR="003469E1" w:rsidRPr="00327317" w:rsidRDefault="003469E1" w:rsidP="003469E1">
      <w:pPr>
        <w:numPr>
          <w:ilvl w:val="0"/>
          <w:numId w:val="12"/>
        </w:numPr>
        <w:spacing w:after="0" w:line="240" w:lineRule="auto"/>
        <w:jc w:val="both"/>
        <w:rPr>
          <w:rFonts w:cs="Arial"/>
        </w:rPr>
      </w:pPr>
      <w:r>
        <w:rPr>
          <w:rFonts w:cs="Arial"/>
        </w:rPr>
        <w:t xml:space="preserve">Electrolytes should be monitored to </w:t>
      </w:r>
      <w:r w:rsidRPr="00327317">
        <w:rPr>
          <w:rFonts w:cs="Arial"/>
        </w:rPr>
        <w:t>determine the need for further infusions and to avoid hyperkalaemia.</w:t>
      </w:r>
    </w:p>
    <w:p w14:paraId="6BB0004C" w14:textId="3AE542EE" w:rsidR="003469E1" w:rsidRPr="00327317" w:rsidRDefault="003469E1" w:rsidP="003469E1">
      <w:pPr>
        <w:numPr>
          <w:ilvl w:val="0"/>
          <w:numId w:val="12"/>
        </w:numPr>
        <w:spacing w:after="0" w:line="240" w:lineRule="auto"/>
        <w:jc w:val="both"/>
        <w:rPr>
          <w:rFonts w:cs="Arial"/>
        </w:rPr>
      </w:pPr>
      <w:r>
        <w:rPr>
          <w:rFonts w:cs="Arial"/>
        </w:rPr>
        <w:t>Treatment of hypokalaemia may require both potassium and magnesium repletion.</w:t>
      </w:r>
    </w:p>
    <w:p w14:paraId="5A086635" w14:textId="77777777" w:rsidR="003469E1" w:rsidRPr="003469E1" w:rsidRDefault="003469E1" w:rsidP="003469E1">
      <w:pPr>
        <w:rPr>
          <w:lang w:val="en-US"/>
        </w:rPr>
      </w:pPr>
    </w:p>
    <w:p w14:paraId="0F45F02D" w14:textId="77777777" w:rsidR="00427F92" w:rsidRDefault="00427F92" w:rsidP="00150DF8">
      <w:pPr>
        <w:spacing w:after="0" w:line="240" w:lineRule="auto"/>
        <w:jc w:val="both"/>
      </w:pPr>
      <w:r w:rsidRPr="00B1695F">
        <w:rPr>
          <w:rStyle w:val="Heading3Char"/>
          <w:rFonts w:eastAsia="Calibri"/>
        </w:rPr>
        <w:t>Limitations</w:t>
      </w:r>
      <w:r w:rsidRPr="00B00B12">
        <w:rPr>
          <w:rFonts w:eastAsia="Times New Roman" w:cs="Arial"/>
          <w:b/>
          <w:color w:val="0000FF"/>
          <w:szCs w:val="20"/>
          <w:lang w:val="en-US"/>
        </w:rPr>
        <w:br/>
      </w:r>
      <w:proofErr w:type="gramStart"/>
      <w:r w:rsidR="003469E1" w:rsidRPr="00FE3BE6">
        <w:rPr>
          <w:bCs/>
          <w:color w:val="000000"/>
        </w:rPr>
        <w:t>Your</w:t>
      </w:r>
      <w:proofErr w:type="gramEnd"/>
      <w:r w:rsidR="003469E1" w:rsidRPr="00FE3BE6">
        <w:rPr>
          <w:bCs/>
          <w:color w:val="000000"/>
        </w:rPr>
        <w:t xml:space="preserve"> pharmacy department will be able to inform you of which ready prepared potassium solutions are kept within your hospital. Trust guidelines on the storage and administration of potassium may differ from the information provided in this Q&amp;A and should be consulted. This Q&amp;A provides advice on the preparation and administration of potassium chloride only and does not include other available potassium salts. Contact your pharmacy department for further advice on these other preparations.</w:t>
      </w:r>
      <w:r w:rsidR="003469E1" w:rsidRPr="00FE3BE6">
        <w:t xml:space="preserve">  This Q&amp;A is for adult patients only.</w:t>
      </w:r>
    </w:p>
    <w:p w14:paraId="0DCB80C5" w14:textId="77777777" w:rsidR="00150DF8" w:rsidRPr="00B1695F" w:rsidRDefault="00150DF8" w:rsidP="00427F92">
      <w:pPr>
        <w:spacing w:after="0" w:line="240" w:lineRule="auto"/>
      </w:pPr>
    </w:p>
    <w:p w14:paraId="091B9790" w14:textId="77777777" w:rsidR="00427F92" w:rsidRDefault="00427F92" w:rsidP="00427F92">
      <w:pPr>
        <w:pStyle w:val="Heading3"/>
        <w:rPr>
          <w:lang w:val="en-US"/>
        </w:rPr>
      </w:pPr>
      <w:r w:rsidRPr="00B00B12">
        <w:rPr>
          <w:lang w:val="en-US"/>
        </w:rPr>
        <w:t>References</w:t>
      </w:r>
    </w:p>
    <w:p w14:paraId="02921F0C" w14:textId="5BB22081" w:rsidR="003469E1" w:rsidRPr="00327317" w:rsidRDefault="003469E1" w:rsidP="00052FAA">
      <w:pPr>
        <w:numPr>
          <w:ilvl w:val="0"/>
          <w:numId w:val="13"/>
        </w:numPr>
        <w:spacing w:after="0" w:line="240" w:lineRule="auto"/>
        <w:jc w:val="both"/>
        <w:rPr>
          <w:rFonts w:cs="Arial"/>
        </w:rPr>
      </w:pPr>
      <w:r w:rsidRPr="00327317">
        <w:rPr>
          <w:rFonts w:cs="Arial"/>
        </w:rPr>
        <w:t xml:space="preserve">National Patient Safety Agency. Patient Safety Alert. Potassium Chloride Concentrate Solutions. 31 October 2002. </w:t>
      </w:r>
      <w:r w:rsidR="005A6F4A">
        <w:rPr>
          <w:rFonts w:cs="Arial"/>
        </w:rPr>
        <w:t>Available at:</w:t>
      </w:r>
      <w:r w:rsidRPr="00327317">
        <w:rPr>
          <w:rFonts w:cs="Arial"/>
        </w:rPr>
        <w:t xml:space="preserve"> </w:t>
      </w:r>
      <w:hyperlink r:id="rId10" w:history="1">
        <w:r w:rsidR="00052FAA" w:rsidRPr="00FA2CE7">
          <w:rPr>
            <w:rStyle w:val="Hyperlink"/>
            <w:rFonts w:cs="Arial"/>
          </w:rPr>
          <w:t>https://www.sps.nhs.uk/articles/npsa-alert-potassium-solutions-risks-to-patients-from-errors-occurring-during-iv-administration-2002/</w:t>
        </w:r>
      </w:hyperlink>
      <w:r w:rsidR="00052FAA">
        <w:rPr>
          <w:rFonts w:cs="Arial"/>
        </w:rPr>
        <w:t xml:space="preserve"> (cited 25/4/2020)</w:t>
      </w:r>
    </w:p>
    <w:p w14:paraId="3ABDB786" w14:textId="77777777" w:rsidR="003469E1" w:rsidRPr="007C1AA7" w:rsidRDefault="003469E1" w:rsidP="003469E1">
      <w:pPr>
        <w:numPr>
          <w:ilvl w:val="0"/>
          <w:numId w:val="13"/>
        </w:numPr>
        <w:spacing w:after="0" w:line="240" w:lineRule="auto"/>
        <w:jc w:val="both"/>
        <w:rPr>
          <w:rFonts w:cs="Arial"/>
        </w:rPr>
      </w:pPr>
      <w:r>
        <w:t xml:space="preserve">Medford-Davis L and </w:t>
      </w:r>
      <w:proofErr w:type="spellStart"/>
      <w:r>
        <w:t>Rafique</w:t>
      </w:r>
      <w:proofErr w:type="spellEnd"/>
      <w:r>
        <w:t xml:space="preserve"> A. Derangements of potassium. </w:t>
      </w:r>
      <w:proofErr w:type="spellStart"/>
      <w:r>
        <w:t>Emerg</w:t>
      </w:r>
      <w:proofErr w:type="spellEnd"/>
      <w:r>
        <w:t xml:space="preserve"> Med </w:t>
      </w:r>
      <w:proofErr w:type="spellStart"/>
      <w:r>
        <w:t>Clin</w:t>
      </w:r>
      <w:proofErr w:type="spellEnd"/>
      <w:r>
        <w:t xml:space="preserve"> N Am 2014; 32: 329-47</w:t>
      </w:r>
    </w:p>
    <w:p w14:paraId="1B3650F2" w14:textId="77777777" w:rsidR="003469E1" w:rsidRPr="00FE3BE6" w:rsidRDefault="003469E1" w:rsidP="003469E1">
      <w:pPr>
        <w:numPr>
          <w:ilvl w:val="0"/>
          <w:numId w:val="13"/>
        </w:numPr>
        <w:spacing w:after="0" w:line="240" w:lineRule="auto"/>
        <w:jc w:val="both"/>
        <w:rPr>
          <w:rFonts w:cs="Arial"/>
        </w:rPr>
      </w:pPr>
      <w:proofErr w:type="spellStart"/>
      <w:r w:rsidRPr="00FE3BE6">
        <w:rPr>
          <w:rFonts w:cs="Arial"/>
        </w:rPr>
        <w:t>Rastergar</w:t>
      </w:r>
      <w:proofErr w:type="spellEnd"/>
      <w:r w:rsidRPr="00FE3BE6">
        <w:rPr>
          <w:rFonts w:cs="Arial"/>
        </w:rPr>
        <w:t xml:space="preserve"> A and </w:t>
      </w:r>
      <w:proofErr w:type="spellStart"/>
      <w:r w:rsidRPr="00FE3BE6">
        <w:rPr>
          <w:rFonts w:cs="Arial"/>
        </w:rPr>
        <w:t>Soleimani</w:t>
      </w:r>
      <w:proofErr w:type="spellEnd"/>
      <w:r w:rsidRPr="00FE3BE6">
        <w:rPr>
          <w:rFonts w:cs="Arial"/>
        </w:rPr>
        <w:t xml:space="preserve"> M. Hypokalaemia and hyperkalaemia. Postgraduate Medical Journal 2001</w:t>
      </w:r>
      <w:proofErr w:type="gramStart"/>
      <w:r w:rsidRPr="00FE3BE6">
        <w:rPr>
          <w:rFonts w:cs="Arial"/>
        </w:rPr>
        <w:t>;77:759</w:t>
      </w:r>
      <w:proofErr w:type="gramEnd"/>
      <w:r w:rsidRPr="00FE3BE6">
        <w:rPr>
          <w:rFonts w:cs="Arial"/>
        </w:rPr>
        <w:t>-64.</w:t>
      </w:r>
    </w:p>
    <w:p w14:paraId="0DCC266A" w14:textId="77777777" w:rsidR="003469E1" w:rsidRPr="00577939" w:rsidRDefault="003469E1" w:rsidP="003469E1">
      <w:pPr>
        <w:numPr>
          <w:ilvl w:val="0"/>
          <w:numId w:val="13"/>
        </w:numPr>
        <w:spacing w:after="0" w:line="240" w:lineRule="auto"/>
        <w:jc w:val="both"/>
        <w:rPr>
          <w:rFonts w:cs="Arial"/>
        </w:rPr>
      </w:pPr>
      <w:proofErr w:type="spellStart"/>
      <w:r w:rsidRPr="00577939">
        <w:rPr>
          <w:rFonts w:cs="Arial"/>
        </w:rPr>
        <w:t>Gennari</w:t>
      </w:r>
      <w:proofErr w:type="spellEnd"/>
      <w:r w:rsidRPr="00577939">
        <w:rPr>
          <w:rFonts w:cs="Arial"/>
        </w:rPr>
        <w:t xml:space="preserve"> FJ. </w:t>
      </w:r>
      <w:proofErr w:type="spellStart"/>
      <w:r w:rsidRPr="00577939">
        <w:rPr>
          <w:rFonts w:cs="Arial"/>
        </w:rPr>
        <w:t>Hypokalemia</w:t>
      </w:r>
      <w:proofErr w:type="spellEnd"/>
      <w:r w:rsidRPr="00577939">
        <w:rPr>
          <w:rFonts w:cs="Arial"/>
        </w:rPr>
        <w:t xml:space="preserve">. </w:t>
      </w:r>
      <w:smartTag w:uri="urn:schemas-microsoft-com:office:smarttags" w:element="place">
        <w:r w:rsidRPr="00577939">
          <w:rPr>
            <w:rFonts w:cs="Arial"/>
          </w:rPr>
          <w:t>New England</w:t>
        </w:r>
      </w:smartTag>
      <w:r w:rsidRPr="00577939">
        <w:rPr>
          <w:rFonts w:cs="Arial"/>
        </w:rPr>
        <w:t xml:space="preserve"> Journal of Medicine 1998; 339(7):451-8. </w:t>
      </w:r>
    </w:p>
    <w:p w14:paraId="6BEA6375" w14:textId="01E5758F" w:rsidR="003469E1" w:rsidRPr="00577939" w:rsidRDefault="003469E1" w:rsidP="003469E1">
      <w:pPr>
        <w:numPr>
          <w:ilvl w:val="0"/>
          <w:numId w:val="13"/>
        </w:numPr>
        <w:spacing w:after="0" w:line="240" w:lineRule="auto"/>
        <w:jc w:val="both"/>
        <w:rPr>
          <w:rFonts w:cs="Arial"/>
        </w:rPr>
      </w:pPr>
      <w:r w:rsidRPr="00577939">
        <w:rPr>
          <w:rFonts w:cs="Arial"/>
        </w:rPr>
        <w:t xml:space="preserve">Martindale: The Complete Drug Reference. </w:t>
      </w:r>
      <w:proofErr w:type="spellStart"/>
      <w:r>
        <w:rPr>
          <w:rFonts w:cs="Arial"/>
        </w:rPr>
        <w:t>Brayfield</w:t>
      </w:r>
      <w:proofErr w:type="spellEnd"/>
      <w:r>
        <w:rPr>
          <w:rFonts w:cs="Arial"/>
        </w:rPr>
        <w:t xml:space="preserve"> A</w:t>
      </w:r>
      <w:r w:rsidRPr="00577939">
        <w:rPr>
          <w:rFonts w:cs="Arial"/>
        </w:rPr>
        <w:t xml:space="preserve"> (Ed). Potassium. In: DRUGDEX</w:t>
      </w:r>
      <w:r w:rsidRPr="00577939">
        <w:rPr>
          <w:rFonts w:cs="Arial"/>
          <w:vertAlign w:val="superscript"/>
        </w:rPr>
        <w:t>®</w:t>
      </w:r>
      <w:r w:rsidRPr="00577939">
        <w:rPr>
          <w:rFonts w:cs="Arial"/>
        </w:rPr>
        <w:t xml:space="preserve"> System</w:t>
      </w:r>
      <w:r>
        <w:rPr>
          <w:rFonts w:cs="Arial"/>
        </w:rPr>
        <w:t xml:space="preserve"> (electronic version)</w:t>
      </w:r>
      <w:r w:rsidRPr="00577939">
        <w:rPr>
          <w:rFonts w:cs="Arial"/>
        </w:rPr>
        <w:t xml:space="preserve">. </w:t>
      </w:r>
      <w:r>
        <w:rPr>
          <w:rFonts w:cs="Arial"/>
        </w:rPr>
        <w:t>Truven Health Analytics,</w:t>
      </w:r>
      <w:r w:rsidRPr="00577939">
        <w:rPr>
          <w:rFonts w:cs="Arial"/>
        </w:rPr>
        <w:t xml:space="preserve"> Greenwood Village, Colorado, USA. </w:t>
      </w:r>
      <w:r w:rsidRPr="00577939">
        <w:rPr>
          <w:rFonts w:cs="Arial"/>
          <w:color w:val="000000"/>
        </w:rPr>
        <w:t xml:space="preserve">Available at: </w:t>
      </w:r>
      <w:hyperlink r:id="rId11" w:history="1">
        <w:r w:rsidRPr="0029401E">
          <w:rPr>
            <w:rStyle w:val="Hyperlink"/>
            <w:rFonts w:cs="Arial"/>
          </w:rPr>
          <w:t>http://www.micromedexsolutions.com</w:t>
        </w:r>
      </w:hyperlink>
      <w:r>
        <w:rPr>
          <w:rFonts w:cs="Arial"/>
        </w:rPr>
        <w:t xml:space="preserve"> </w:t>
      </w:r>
      <w:r w:rsidRPr="00577939">
        <w:rPr>
          <w:rFonts w:cs="Arial"/>
          <w:color w:val="000000"/>
        </w:rPr>
        <w:t xml:space="preserve">(cited: </w:t>
      </w:r>
      <w:r w:rsidR="00665AFD">
        <w:rPr>
          <w:rFonts w:cs="Arial"/>
        </w:rPr>
        <w:t>6/4/2020</w:t>
      </w:r>
      <w:r w:rsidRPr="00577939">
        <w:rPr>
          <w:rFonts w:cs="Arial"/>
          <w:color w:val="000000"/>
        </w:rPr>
        <w:t>)</w:t>
      </w:r>
    </w:p>
    <w:p w14:paraId="19F66D20" w14:textId="77777777" w:rsidR="003469E1" w:rsidRPr="00577939" w:rsidRDefault="003469E1" w:rsidP="003469E1">
      <w:pPr>
        <w:numPr>
          <w:ilvl w:val="0"/>
          <w:numId w:val="13"/>
        </w:numPr>
        <w:spacing w:after="0" w:line="240" w:lineRule="auto"/>
        <w:jc w:val="both"/>
        <w:rPr>
          <w:rFonts w:cs="Arial"/>
        </w:rPr>
      </w:pPr>
      <w:r w:rsidRPr="00577939">
        <w:rPr>
          <w:rFonts w:cs="Arial"/>
          <w:color w:val="000000"/>
        </w:rPr>
        <w:t>Kra</w:t>
      </w:r>
      <w:r w:rsidRPr="00577939">
        <w:rPr>
          <w:rFonts w:cs="Arial"/>
        </w:rPr>
        <w:t xml:space="preserve">ft MD, </w:t>
      </w:r>
      <w:proofErr w:type="spellStart"/>
      <w:r w:rsidRPr="00577939">
        <w:rPr>
          <w:rFonts w:cs="Arial"/>
        </w:rPr>
        <w:t>Btaiche</w:t>
      </w:r>
      <w:proofErr w:type="spellEnd"/>
      <w:r w:rsidRPr="00577939">
        <w:rPr>
          <w:rFonts w:cs="Arial"/>
        </w:rPr>
        <w:t xml:space="preserve"> IF, Sacks, et al. Treatment of electrolyte disorders in adult patients in the intensive care unit. Am J Health-</w:t>
      </w:r>
      <w:proofErr w:type="spellStart"/>
      <w:r w:rsidRPr="00577939">
        <w:rPr>
          <w:rFonts w:cs="Arial"/>
        </w:rPr>
        <w:t>Syst</w:t>
      </w:r>
      <w:proofErr w:type="spellEnd"/>
      <w:r w:rsidRPr="00577939">
        <w:rPr>
          <w:rFonts w:cs="Arial"/>
        </w:rPr>
        <w:t xml:space="preserve"> Pharm 2005;62:1663-82</w:t>
      </w:r>
    </w:p>
    <w:p w14:paraId="2AF9AB40" w14:textId="5ADB9264" w:rsidR="00961852" w:rsidRPr="00B556EF" w:rsidRDefault="00C648FD" w:rsidP="00B556EF">
      <w:pPr>
        <w:numPr>
          <w:ilvl w:val="0"/>
          <w:numId w:val="13"/>
        </w:numPr>
        <w:spacing w:after="0" w:line="240" w:lineRule="auto"/>
        <w:jc w:val="both"/>
        <w:rPr>
          <w:rFonts w:cs="Arial"/>
        </w:rPr>
      </w:pPr>
      <w:r w:rsidRPr="00150DF8">
        <w:rPr>
          <w:rFonts w:cs="Arial"/>
          <w:szCs w:val="20"/>
          <w:shd w:val="clear" w:color="auto" w:fill="FFFFFF"/>
        </w:rPr>
        <w:t>Lewis JL (2018).</w:t>
      </w:r>
      <w:r w:rsidRPr="00150DF8">
        <w:rPr>
          <w:rStyle w:val="apple-converted-space"/>
          <w:rFonts w:cs="Arial"/>
          <w:szCs w:val="20"/>
          <w:shd w:val="clear" w:color="auto" w:fill="FFFFFF"/>
        </w:rPr>
        <w:t> </w:t>
      </w:r>
      <w:proofErr w:type="spellStart"/>
      <w:r w:rsidRPr="00150DF8">
        <w:rPr>
          <w:rFonts w:cs="Arial"/>
          <w:iCs/>
          <w:szCs w:val="20"/>
          <w:shd w:val="clear" w:color="auto" w:fill="FFFFFF"/>
        </w:rPr>
        <w:t>Hypokalemia</w:t>
      </w:r>
      <w:proofErr w:type="spellEnd"/>
      <w:r w:rsidRPr="00150DF8">
        <w:rPr>
          <w:rFonts w:cs="Arial"/>
          <w:iCs/>
          <w:szCs w:val="20"/>
          <w:shd w:val="clear" w:color="auto" w:fill="FFFFFF"/>
        </w:rPr>
        <w:t>. MSD Manual Professional Edition</w:t>
      </w:r>
      <w:r w:rsidRPr="00150DF8">
        <w:rPr>
          <w:rFonts w:cs="Arial"/>
          <w:szCs w:val="20"/>
          <w:shd w:val="clear" w:color="auto" w:fill="FFFFFF"/>
        </w:rPr>
        <w:t xml:space="preserve"> [online] MSD Manual Professional Edition. Available at: </w:t>
      </w:r>
      <w:hyperlink r:id="rId12" w:anchor="v8375576" w:history="1">
        <w:r w:rsidRPr="00C648FD">
          <w:rPr>
            <w:rStyle w:val="Hyperlink"/>
            <w:rFonts w:cs="Arial"/>
          </w:rPr>
          <w:t>https://www.msdmanuals.com/en-gb/professional/endocrine-and-metabolic-disorders/electrolyte-disorders/hypokalemia#v8375576</w:t>
        </w:r>
      </w:hyperlink>
      <w:r>
        <w:rPr>
          <w:rFonts w:cs="Arial"/>
        </w:rPr>
        <w:t xml:space="preserve"> </w:t>
      </w:r>
      <w:r w:rsidRPr="00150DF8">
        <w:rPr>
          <w:rFonts w:cs="Arial"/>
          <w:szCs w:val="20"/>
          <w:shd w:val="clear" w:color="auto" w:fill="FFFFFF"/>
        </w:rPr>
        <w:t>(cited:</w:t>
      </w:r>
      <w:r w:rsidR="001E2597">
        <w:rPr>
          <w:rFonts w:cs="Arial"/>
          <w:szCs w:val="20"/>
          <w:shd w:val="clear" w:color="auto" w:fill="FFFFFF"/>
        </w:rPr>
        <w:t xml:space="preserve"> 6/4/2020</w:t>
      </w:r>
      <w:r w:rsidRPr="00150DF8">
        <w:rPr>
          <w:rFonts w:cs="Arial"/>
          <w:szCs w:val="20"/>
          <w:shd w:val="clear" w:color="auto" w:fill="FFFFFF"/>
        </w:rPr>
        <w:t>).</w:t>
      </w:r>
    </w:p>
    <w:p w14:paraId="317EBDF9" w14:textId="294A4EE7" w:rsidR="003469E1" w:rsidRPr="00961852" w:rsidRDefault="003469E1" w:rsidP="00961852">
      <w:pPr>
        <w:numPr>
          <w:ilvl w:val="0"/>
          <w:numId w:val="13"/>
        </w:numPr>
        <w:spacing w:after="0" w:line="240" w:lineRule="auto"/>
        <w:jc w:val="both"/>
        <w:rPr>
          <w:rFonts w:cs="Arial"/>
        </w:rPr>
      </w:pPr>
      <w:r w:rsidRPr="00961852">
        <w:rPr>
          <w:rFonts w:cs="Arial"/>
        </w:rPr>
        <w:t xml:space="preserve">Personal Communication. Rob Bradley, </w:t>
      </w:r>
      <w:r w:rsidR="00101225">
        <w:rPr>
          <w:rFonts w:cs="Arial"/>
        </w:rPr>
        <w:t>Consultant</w:t>
      </w:r>
      <w:r w:rsidRPr="00961852">
        <w:rPr>
          <w:rFonts w:cs="Arial"/>
        </w:rPr>
        <w:t xml:space="preserve"> Pharmacist</w:t>
      </w:r>
      <w:r w:rsidR="008C7B2C">
        <w:rPr>
          <w:rFonts w:cs="Arial"/>
        </w:rPr>
        <w:t xml:space="preserve"> for Nephrology and Transplantation</w:t>
      </w:r>
      <w:r w:rsidRPr="00961852">
        <w:rPr>
          <w:rFonts w:cs="Arial"/>
        </w:rPr>
        <w:t xml:space="preserve">, University Hospital of Wales. </w:t>
      </w:r>
      <w:r w:rsidR="00DC584A">
        <w:rPr>
          <w:rFonts w:cs="Arial"/>
        </w:rPr>
        <w:t>29</w:t>
      </w:r>
      <w:r w:rsidRPr="00961852">
        <w:rPr>
          <w:rFonts w:cs="Arial"/>
        </w:rPr>
        <w:t>/</w:t>
      </w:r>
      <w:r w:rsidR="00DC584A">
        <w:rPr>
          <w:rFonts w:cs="Arial"/>
        </w:rPr>
        <w:t>5</w:t>
      </w:r>
      <w:r w:rsidRPr="00961852">
        <w:rPr>
          <w:rFonts w:cs="Arial"/>
        </w:rPr>
        <w:t>/20</w:t>
      </w:r>
      <w:r w:rsidR="00DC584A">
        <w:rPr>
          <w:rFonts w:cs="Arial"/>
        </w:rPr>
        <w:t>20</w:t>
      </w:r>
    </w:p>
    <w:p w14:paraId="664AD9BD" w14:textId="77777777" w:rsidR="003469E1" w:rsidRDefault="003469E1" w:rsidP="003469E1">
      <w:pPr>
        <w:numPr>
          <w:ilvl w:val="0"/>
          <w:numId w:val="13"/>
        </w:numPr>
        <w:spacing w:after="0" w:line="240" w:lineRule="auto"/>
        <w:jc w:val="both"/>
        <w:rPr>
          <w:rFonts w:cs="Arial"/>
        </w:rPr>
      </w:pPr>
      <w:r w:rsidRPr="00577939">
        <w:rPr>
          <w:rFonts w:cs="Arial"/>
        </w:rPr>
        <w:t xml:space="preserve">Agarwal A, </w:t>
      </w:r>
      <w:proofErr w:type="spellStart"/>
      <w:r w:rsidRPr="00577939">
        <w:rPr>
          <w:rFonts w:cs="Arial"/>
        </w:rPr>
        <w:t>Wingo</w:t>
      </w:r>
      <w:proofErr w:type="spellEnd"/>
      <w:r w:rsidRPr="00577939">
        <w:rPr>
          <w:rFonts w:cs="Arial"/>
        </w:rPr>
        <w:t xml:space="preserve"> CS. Treatment of </w:t>
      </w:r>
      <w:proofErr w:type="spellStart"/>
      <w:r w:rsidRPr="00577939">
        <w:rPr>
          <w:rFonts w:cs="Arial"/>
        </w:rPr>
        <w:t>Hypokalemia</w:t>
      </w:r>
      <w:proofErr w:type="spellEnd"/>
      <w:r w:rsidRPr="00577939">
        <w:rPr>
          <w:rFonts w:cs="Arial"/>
        </w:rPr>
        <w:t xml:space="preserve">. </w:t>
      </w:r>
      <w:smartTag w:uri="urn:schemas-microsoft-com:office:smarttags" w:element="place">
        <w:r w:rsidRPr="00577939">
          <w:rPr>
            <w:rFonts w:cs="Arial"/>
          </w:rPr>
          <w:t>New England</w:t>
        </w:r>
      </w:smartTag>
      <w:r w:rsidRPr="00577939">
        <w:rPr>
          <w:rFonts w:cs="Arial"/>
        </w:rPr>
        <w:t xml:space="preserve"> Journal of Medicine 1999;340(2):154-5</w:t>
      </w:r>
      <w:r w:rsidRPr="00577939">
        <w:rPr>
          <w:color w:val="000000"/>
        </w:rPr>
        <w:t xml:space="preserve">. </w:t>
      </w:r>
    </w:p>
    <w:p w14:paraId="60901128" w14:textId="5B73146A" w:rsidR="003469E1" w:rsidRPr="007C1AA7" w:rsidRDefault="003469E1" w:rsidP="003469E1">
      <w:pPr>
        <w:numPr>
          <w:ilvl w:val="0"/>
          <w:numId w:val="13"/>
        </w:numPr>
        <w:spacing w:after="0" w:line="240" w:lineRule="auto"/>
        <w:jc w:val="both"/>
        <w:rPr>
          <w:rFonts w:cs="Arial"/>
        </w:rPr>
      </w:pPr>
      <w:r w:rsidRPr="007C1AA7">
        <w:t xml:space="preserve">Joint Formulary Committee. </w:t>
      </w:r>
      <w:r w:rsidRPr="00861929">
        <w:rPr>
          <w:i/>
        </w:rPr>
        <w:t>British National Formulary</w:t>
      </w:r>
      <w:r w:rsidRPr="007C1AA7">
        <w:t xml:space="preserve"> [</w:t>
      </w:r>
      <w:r>
        <w:t>online</w:t>
      </w:r>
      <w:r w:rsidRPr="007C1AA7">
        <w:t>]. London: BMJ Group and Pharmaceutical Press</w:t>
      </w:r>
      <w:r w:rsidR="005A6F4A">
        <w:t>. Available at:</w:t>
      </w:r>
      <w:r w:rsidRPr="007C1AA7">
        <w:t xml:space="preserve"> </w:t>
      </w:r>
      <w:hyperlink r:id="rId13" w:history="1">
        <w:r w:rsidR="007A358C" w:rsidRPr="007A358C">
          <w:rPr>
            <w:rStyle w:val="Hyperlink"/>
            <w:rFonts w:cs="Arial"/>
          </w:rPr>
          <w:t>https://www.new.medicinescomplete.com/</w:t>
        </w:r>
      </w:hyperlink>
      <w:r w:rsidRPr="007C1AA7">
        <w:t xml:space="preserve"> </w:t>
      </w:r>
      <w:r w:rsidR="005A6F4A">
        <w:t>(cited: 6/4/2020)</w:t>
      </w:r>
    </w:p>
    <w:p w14:paraId="11EF2225" w14:textId="77777777" w:rsidR="003469E1" w:rsidRPr="007C1AA7" w:rsidRDefault="003469E1" w:rsidP="003469E1">
      <w:pPr>
        <w:numPr>
          <w:ilvl w:val="0"/>
          <w:numId w:val="13"/>
        </w:numPr>
        <w:spacing w:after="0" w:line="240" w:lineRule="auto"/>
        <w:jc w:val="both"/>
        <w:rPr>
          <w:rFonts w:cs="Arial"/>
        </w:rPr>
      </w:pPr>
      <w:proofErr w:type="spellStart"/>
      <w:r w:rsidRPr="007C1AA7">
        <w:t>Gray</w:t>
      </w:r>
      <w:proofErr w:type="spellEnd"/>
      <w:r w:rsidRPr="007C1AA7">
        <w:t xml:space="preserve"> A, Wright J, </w:t>
      </w:r>
      <w:proofErr w:type="spellStart"/>
      <w:r w:rsidRPr="007C1AA7">
        <w:t>Goodey</w:t>
      </w:r>
      <w:proofErr w:type="spellEnd"/>
      <w:r w:rsidRPr="007C1AA7">
        <w:t xml:space="preserve"> V, Bruce L. Injectable Drugs Guide. </w:t>
      </w:r>
      <w:smartTag w:uri="urn:schemas-microsoft-com:office:smarttags" w:element="City">
        <w:smartTag w:uri="urn:schemas-microsoft-com:office:smarttags" w:element="place">
          <w:r w:rsidRPr="007C1AA7">
            <w:t>London</w:t>
          </w:r>
        </w:smartTag>
      </w:smartTag>
      <w:r w:rsidRPr="007C1AA7">
        <w:t>. Pharmaceutical Press; 2011: p699-702</w:t>
      </w:r>
    </w:p>
    <w:p w14:paraId="5EB544B8" w14:textId="77777777" w:rsidR="00D34413" w:rsidRPr="00961852" w:rsidRDefault="00D34413" w:rsidP="00D34413">
      <w:pPr>
        <w:numPr>
          <w:ilvl w:val="0"/>
          <w:numId w:val="13"/>
        </w:numPr>
        <w:spacing w:after="0" w:line="240" w:lineRule="auto"/>
        <w:jc w:val="both"/>
        <w:rPr>
          <w:rFonts w:cs="Arial"/>
        </w:rPr>
      </w:pPr>
      <w:hyperlink r:id="rId14" w:tgtFrame="_blank" w:history="1">
        <w:r w:rsidRPr="00322651">
          <w:rPr>
            <w:rStyle w:val="Hyperlink"/>
            <w:rFonts w:cs="Arial"/>
            <w:szCs w:val="20"/>
            <w:shd w:val="clear" w:color="auto" w:fill="FFFFFF"/>
          </w:rPr>
          <w:t>Development of the UK Vessel Health and Preservation (VHP) framework: a multi-organisational collaborative; 2016</w:t>
        </w:r>
      </w:hyperlink>
      <w:r w:rsidRPr="00CB5B52">
        <w:rPr>
          <w:szCs w:val="20"/>
        </w:rPr>
        <w:t xml:space="preserve"> Available at: </w:t>
      </w:r>
      <w:hyperlink r:id="rId15" w:history="1">
        <w:r>
          <w:rPr>
            <w:rStyle w:val="Hyperlink"/>
          </w:rPr>
          <w:t>https://medusa.wales.nhs.uk/docs/Journal%20of%20Infection%20Prevention-2016-Hallam-1757177415624752.pdf</w:t>
        </w:r>
      </w:hyperlink>
      <w:r>
        <w:t xml:space="preserve"> (cited: 11/09/2020)</w:t>
      </w:r>
    </w:p>
    <w:p w14:paraId="20147EE3" w14:textId="45F1C0B6" w:rsidR="00961852" w:rsidRPr="00CB5B52" w:rsidRDefault="003469E1" w:rsidP="003469E1">
      <w:pPr>
        <w:numPr>
          <w:ilvl w:val="0"/>
          <w:numId w:val="13"/>
        </w:numPr>
        <w:spacing w:after="0" w:line="240" w:lineRule="auto"/>
        <w:jc w:val="both"/>
        <w:rPr>
          <w:rFonts w:cs="Arial"/>
        </w:rPr>
      </w:pPr>
      <w:r w:rsidRPr="007C1AA7">
        <w:t xml:space="preserve">Injectable Medicines Guide. Potassium chloride. </w:t>
      </w:r>
      <w:r w:rsidR="005A6F4A">
        <w:t>Available at:</w:t>
      </w:r>
      <w:r w:rsidRPr="007C1AA7">
        <w:t xml:space="preserve"> </w:t>
      </w:r>
      <w:hyperlink r:id="rId16" w:history="1">
        <w:r w:rsidRPr="007C1AA7">
          <w:rPr>
            <w:rStyle w:val="Hyperlink"/>
          </w:rPr>
          <w:t>http://medusa.wales.nhs.uk/</w:t>
        </w:r>
      </w:hyperlink>
      <w:r w:rsidRPr="007C1AA7">
        <w:t xml:space="preserve"> </w:t>
      </w:r>
      <w:r w:rsidR="00A9092D">
        <w:t>(cited: 6/4/2020)</w:t>
      </w:r>
    </w:p>
    <w:p w14:paraId="42587FB5" w14:textId="14449C4A" w:rsidR="00961852" w:rsidRDefault="00961852" w:rsidP="00961852">
      <w:pPr>
        <w:numPr>
          <w:ilvl w:val="0"/>
          <w:numId w:val="13"/>
        </w:numPr>
        <w:spacing w:after="0" w:line="240" w:lineRule="auto"/>
        <w:jc w:val="both"/>
        <w:rPr>
          <w:rFonts w:cs="Arial"/>
        </w:rPr>
      </w:pPr>
      <w:r w:rsidRPr="00577939">
        <w:rPr>
          <w:rFonts w:cs="Arial"/>
          <w:bCs/>
        </w:rPr>
        <w:t>Potassium</w:t>
      </w:r>
      <w:r>
        <w:rPr>
          <w:rFonts w:cs="Arial"/>
          <w:bCs/>
        </w:rPr>
        <w:t xml:space="preserve"> (Drug Evaluation). </w:t>
      </w:r>
      <w:r w:rsidRPr="00577939">
        <w:rPr>
          <w:rFonts w:cs="Arial"/>
          <w:bCs/>
          <w:lang w:val="de-DE"/>
        </w:rPr>
        <w:t xml:space="preserve">In: </w:t>
      </w:r>
      <w:r w:rsidRPr="00577939">
        <w:rPr>
          <w:rFonts w:cs="Arial"/>
          <w:lang w:val="de-DE"/>
        </w:rPr>
        <w:t>DRUGDEX</w:t>
      </w:r>
      <w:r w:rsidRPr="00577939">
        <w:rPr>
          <w:rFonts w:cs="Arial"/>
          <w:vertAlign w:val="superscript"/>
          <w:lang w:val="de-DE"/>
        </w:rPr>
        <w:t>®</w:t>
      </w:r>
      <w:r w:rsidRPr="00577939">
        <w:rPr>
          <w:rFonts w:cs="Arial"/>
          <w:lang w:val="de-DE"/>
        </w:rPr>
        <w:t xml:space="preserve"> System</w:t>
      </w:r>
      <w:r>
        <w:rPr>
          <w:rFonts w:cs="Arial"/>
          <w:lang w:val="de-DE"/>
        </w:rPr>
        <w:t xml:space="preserve"> </w:t>
      </w:r>
      <w:r>
        <w:rPr>
          <w:rFonts w:cs="Arial"/>
        </w:rPr>
        <w:t>(electronic version)</w:t>
      </w:r>
      <w:r w:rsidRPr="00577939">
        <w:rPr>
          <w:rFonts w:cs="Arial"/>
        </w:rPr>
        <w:t xml:space="preserve">. </w:t>
      </w:r>
      <w:r>
        <w:rPr>
          <w:rFonts w:cs="Arial"/>
        </w:rPr>
        <w:t>Truven Health Analytics</w:t>
      </w:r>
      <w:r w:rsidRPr="00577939">
        <w:rPr>
          <w:rFonts w:cs="Arial"/>
        </w:rPr>
        <w:t xml:space="preserve">, </w:t>
      </w:r>
      <w:smartTag w:uri="urn:schemas-microsoft-com:office:smarttags" w:element="place">
        <w:smartTag w:uri="urn:schemas-microsoft-com:office:smarttags" w:element="City">
          <w:r w:rsidRPr="00577939">
            <w:rPr>
              <w:rFonts w:cs="Arial"/>
            </w:rPr>
            <w:t>Greenwood Village</w:t>
          </w:r>
        </w:smartTag>
        <w:r w:rsidRPr="00577939">
          <w:rPr>
            <w:rFonts w:cs="Arial"/>
          </w:rPr>
          <w:t xml:space="preserve">, </w:t>
        </w:r>
        <w:smartTag w:uri="urn:schemas-microsoft-com:office:smarttags" w:element="State">
          <w:r w:rsidRPr="00577939">
            <w:rPr>
              <w:rFonts w:cs="Arial"/>
            </w:rPr>
            <w:t>Colorado</w:t>
          </w:r>
        </w:smartTag>
        <w:r w:rsidRPr="00577939">
          <w:rPr>
            <w:rFonts w:cs="Arial"/>
          </w:rPr>
          <w:t xml:space="preserve">, </w:t>
        </w:r>
        <w:smartTag w:uri="urn:schemas-microsoft-com:office:smarttags" w:element="country-region">
          <w:r w:rsidRPr="00577939">
            <w:rPr>
              <w:rFonts w:cs="Arial"/>
            </w:rPr>
            <w:t>USA</w:t>
          </w:r>
        </w:smartTag>
      </w:smartTag>
      <w:r w:rsidRPr="00577939">
        <w:rPr>
          <w:rFonts w:cs="Arial"/>
        </w:rPr>
        <w:t xml:space="preserve">. </w:t>
      </w:r>
      <w:r w:rsidRPr="00577939">
        <w:rPr>
          <w:rFonts w:cs="Arial"/>
          <w:color w:val="000000"/>
        </w:rPr>
        <w:t xml:space="preserve">Available at: </w:t>
      </w:r>
      <w:hyperlink r:id="rId17" w:history="1">
        <w:r w:rsidRPr="0029401E">
          <w:rPr>
            <w:rStyle w:val="Hyperlink"/>
            <w:rFonts w:cs="Arial"/>
          </w:rPr>
          <w:t>http://www.micromedexsolutions.com</w:t>
        </w:r>
      </w:hyperlink>
      <w:r w:rsidRPr="00577939">
        <w:rPr>
          <w:rFonts w:cs="Arial"/>
          <w:color w:val="000000"/>
        </w:rPr>
        <w:t xml:space="preserve"> </w:t>
      </w:r>
      <w:r w:rsidRPr="007C1AA7">
        <w:rPr>
          <w:rFonts w:cs="Arial"/>
        </w:rPr>
        <w:t>(</w:t>
      </w:r>
      <w:r w:rsidRPr="00C648FD">
        <w:rPr>
          <w:rFonts w:cs="Arial"/>
        </w:rPr>
        <w:t xml:space="preserve">cited: </w:t>
      </w:r>
      <w:r w:rsidRPr="00B556EF">
        <w:rPr>
          <w:rFonts w:cs="Arial"/>
          <w:iCs/>
        </w:rPr>
        <w:t>2</w:t>
      </w:r>
      <w:r w:rsidR="006C3FD6">
        <w:rPr>
          <w:rFonts w:cs="Arial"/>
          <w:iCs/>
        </w:rPr>
        <w:t>0</w:t>
      </w:r>
      <w:r w:rsidRPr="00B556EF">
        <w:rPr>
          <w:rFonts w:cs="Arial"/>
          <w:iCs/>
        </w:rPr>
        <w:t>/04/20</w:t>
      </w:r>
      <w:r w:rsidR="006C3FD6">
        <w:rPr>
          <w:rFonts w:cs="Arial"/>
          <w:iCs/>
        </w:rPr>
        <w:t>20</w:t>
      </w:r>
      <w:r w:rsidRPr="00C648FD">
        <w:rPr>
          <w:rFonts w:cs="Arial"/>
        </w:rPr>
        <w:t>)</w:t>
      </w:r>
    </w:p>
    <w:p w14:paraId="1F540624" w14:textId="0EA450D7" w:rsidR="00C648FD" w:rsidRDefault="00791F19" w:rsidP="00961852">
      <w:pPr>
        <w:numPr>
          <w:ilvl w:val="0"/>
          <w:numId w:val="13"/>
        </w:numPr>
        <w:spacing w:after="0" w:line="240" w:lineRule="auto"/>
        <w:jc w:val="both"/>
        <w:rPr>
          <w:rFonts w:cs="Arial"/>
        </w:rPr>
      </w:pPr>
      <w:proofErr w:type="spellStart"/>
      <w:r>
        <w:rPr>
          <w:rFonts w:cs="Arial"/>
        </w:rPr>
        <w:t>Lederer</w:t>
      </w:r>
      <w:proofErr w:type="spellEnd"/>
      <w:r>
        <w:rPr>
          <w:rFonts w:cs="Arial"/>
        </w:rPr>
        <w:t xml:space="preserve"> E (201</w:t>
      </w:r>
      <w:r w:rsidR="006C3FD6">
        <w:rPr>
          <w:rFonts w:cs="Arial"/>
        </w:rPr>
        <w:t>8</w:t>
      </w:r>
      <w:r>
        <w:rPr>
          <w:rFonts w:cs="Arial"/>
        </w:rPr>
        <w:t xml:space="preserve">) Hypokalaemia Treatment and Management. Available at: </w:t>
      </w:r>
      <w:hyperlink r:id="rId18" w:anchor="d10" w:history="1">
        <w:r w:rsidR="00C648FD" w:rsidRPr="00C648FD">
          <w:rPr>
            <w:rStyle w:val="Hyperlink"/>
            <w:rFonts w:cs="Arial"/>
          </w:rPr>
          <w:t>https://emedicine.medscape.com/article/242008-treatment#d10</w:t>
        </w:r>
      </w:hyperlink>
      <w:r>
        <w:rPr>
          <w:rFonts w:cs="Arial"/>
        </w:rPr>
        <w:t xml:space="preserve"> (cited: 2</w:t>
      </w:r>
      <w:r w:rsidR="00901F2F">
        <w:rPr>
          <w:rFonts w:cs="Arial"/>
        </w:rPr>
        <w:t>0</w:t>
      </w:r>
      <w:r>
        <w:rPr>
          <w:rFonts w:cs="Arial"/>
        </w:rPr>
        <w:t>/</w:t>
      </w:r>
      <w:r w:rsidR="00901F2F">
        <w:rPr>
          <w:rFonts w:cs="Arial"/>
        </w:rPr>
        <w:t>4</w:t>
      </w:r>
      <w:r>
        <w:rPr>
          <w:rFonts w:cs="Arial"/>
        </w:rPr>
        <w:t>/20</w:t>
      </w:r>
      <w:r w:rsidR="00901F2F">
        <w:rPr>
          <w:rFonts w:cs="Arial"/>
        </w:rPr>
        <w:t>20</w:t>
      </w:r>
      <w:r>
        <w:rPr>
          <w:rFonts w:cs="Arial"/>
        </w:rPr>
        <w:t>).</w:t>
      </w:r>
    </w:p>
    <w:p w14:paraId="400D830C" w14:textId="09CBE29F" w:rsidR="00791F19" w:rsidRPr="00150DF8" w:rsidRDefault="00791F19" w:rsidP="00150DF8">
      <w:pPr>
        <w:pStyle w:val="ListParagraph"/>
        <w:numPr>
          <w:ilvl w:val="0"/>
          <w:numId w:val="13"/>
        </w:numPr>
        <w:rPr>
          <w:rFonts w:cs="Arial"/>
        </w:rPr>
      </w:pPr>
      <w:r w:rsidRPr="00791F19">
        <w:rPr>
          <w:rFonts w:cs="Arial"/>
        </w:rPr>
        <w:t>Mount DB, Sterns RH, Emmett M</w:t>
      </w:r>
      <w:r w:rsidRPr="00B556EF">
        <w:rPr>
          <w:rFonts w:cs="Arial"/>
        </w:rPr>
        <w:t xml:space="preserve">. </w:t>
      </w:r>
      <w:r w:rsidRPr="00791F19">
        <w:rPr>
          <w:rFonts w:cs="Arial"/>
        </w:rPr>
        <w:t>Clinical manifestations and treatment of hypokalaemia in adults</w:t>
      </w:r>
      <w:r w:rsidRPr="00B556EF">
        <w:rPr>
          <w:rFonts w:cs="Arial"/>
        </w:rPr>
        <w:t xml:space="preserve">. In: Post TW, editor. </w:t>
      </w:r>
      <w:proofErr w:type="spellStart"/>
      <w:r w:rsidRPr="00B556EF">
        <w:rPr>
          <w:rFonts w:cs="Arial"/>
        </w:rPr>
        <w:t>UpToDate</w:t>
      </w:r>
      <w:proofErr w:type="spellEnd"/>
      <w:r w:rsidRPr="00B556EF">
        <w:rPr>
          <w:rFonts w:cs="Arial"/>
        </w:rPr>
        <w:t xml:space="preserve">. Waltham, MA: Wolters </w:t>
      </w:r>
      <w:r w:rsidRPr="00791F19">
        <w:rPr>
          <w:rFonts w:cs="Arial"/>
        </w:rPr>
        <w:t>Kluwer Health</w:t>
      </w:r>
      <w:r w:rsidRPr="00B556EF">
        <w:rPr>
          <w:rFonts w:cs="Arial"/>
        </w:rPr>
        <w:t xml:space="preserve">. Available </w:t>
      </w:r>
      <w:r w:rsidR="005A6F4A">
        <w:rPr>
          <w:rFonts w:cs="Arial"/>
        </w:rPr>
        <w:t>at</w:t>
      </w:r>
      <w:r w:rsidRPr="00B556EF">
        <w:rPr>
          <w:rFonts w:cs="Arial"/>
        </w:rPr>
        <w:t xml:space="preserve">: </w:t>
      </w:r>
      <w:hyperlink r:id="rId19" w:history="1">
        <w:r w:rsidR="00150DF8" w:rsidRPr="004B128F">
          <w:rPr>
            <w:rStyle w:val="Hyperlink"/>
            <w:rFonts w:cs="Arial"/>
          </w:rPr>
          <w:t>http://www.uptodate.com</w:t>
        </w:r>
      </w:hyperlink>
      <w:r w:rsidR="00150DF8" w:rsidRPr="00150DF8">
        <w:rPr>
          <w:rFonts w:cs="Arial"/>
        </w:rPr>
        <w:t xml:space="preserve"> </w:t>
      </w:r>
      <w:r w:rsidRPr="00150DF8">
        <w:rPr>
          <w:rFonts w:cs="Arial"/>
        </w:rPr>
        <w:t>(cited 2</w:t>
      </w:r>
      <w:r w:rsidR="005F2A4F">
        <w:rPr>
          <w:rFonts w:cs="Arial"/>
        </w:rPr>
        <w:t>0</w:t>
      </w:r>
      <w:r w:rsidRPr="00150DF8">
        <w:rPr>
          <w:rFonts w:cs="Arial"/>
        </w:rPr>
        <w:t>/</w:t>
      </w:r>
      <w:r w:rsidR="005F2A4F">
        <w:rPr>
          <w:rFonts w:cs="Arial"/>
        </w:rPr>
        <w:t>4</w:t>
      </w:r>
      <w:r w:rsidRPr="00150DF8">
        <w:rPr>
          <w:rFonts w:cs="Arial"/>
        </w:rPr>
        <w:t>/20</w:t>
      </w:r>
      <w:r w:rsidR="005F2A4F">
        <w:rPr>
          <w:rFonts w:cs="Arial"/>
        </w:rPr>
        <w:t>20</w:t>
      </w:r>
      <w:r w:rsidRPr="00150DF8">
        <w:rPr>
          <w:rFonts w:cs="Arial"/>
        </w:rPr>
        <w:t>)</w:t>
      </w:r>
    </w:p>
    <w:p w14:paraId="24E47B1E" w14:textId="77777777" w:rsidR="00150DF8" w:rsidRDefault="00150DF8" w:rsidP="00427F92">
      <w:pPr>
        <w:pStyle w:val="Heading2"/>
      </w:pPr>
    </w:p>
    <w:p w14:paraId="3FCFDC51" w14:textId="77777777" w:rsidR="00427F92" w:rsidRPr="00B1695F" w:rsidRDefault="00427F92" w:rsidP="00427F92">
      <w:pPr>
        <w:pStyle w:val="Heading2"/>
      </w:pPr>
      <w:r w:rsidRPr="00B00B12">
        <w:t xml:space="preserve">Quality Assurance </w:t>
      </w:r>
    </w:p>
    <w:p w14:paraId="2443F7F4" w14:textId="77777777" w:rsidR="00427F92" w:rsidRPr="00B00B12" w:rsidRDefault="00427F92" w:rsidP="00427F92">
      <w:pPr>
        <w:pStyle w:val="Heading3"/>
        <w:rPr>
          <w:lang w:val="en-US"/>
        </w:rPr>
      </w:pPr>
      <w:r w:rsidRPr="00B00B12">
        <w:rPr>
          <w:lang w:val="en-US"/>
        </w:rPr>
        <w:t>Prepared by</w:t>
      </w:r>
    </w:p>
    <w:p w14:paraId="5E8C0E07" w14:textId="7E5779DA" w:rsidR="003469E1" w:rsidRPr="007C1AA7" w:rsidRDefault="00CD45F3" w:rsidP="003469E1">
      <w:pPr>
        <w:jc w:val="both"/>
      </w:pPr>
      <w:r>
        <w:t>Rebecca Wong</w:t>
      </w:r>
      <w:r w:rsidR="00961852">
        <w:t xml:space="preserve">, Welsh Medicines Information Centre (based on earlier work by </w:t>
      </w:r>
      <w:r w:rsidR="003469E1" w:rsidRPr="007C1AA7">
        <w:t>Gail Woodland</w:t>
      </w:r>
      <w:r w:rsidR="00961852">
        <w:t xml:space="preserve"> and</w:t>
      </w:r>
      <w:r w:rsidR="00EF2CBA">
        <w:t xml:space="preserve"> Alex Baile</w:t>
      </w:r>
      <w:r>
        <w:t>y</w:t>
      </w:r>
      <w:r w:rsidR="003469E1" w:rsidRPr="007C1AA7">
        <w:t>)</w:t>
      </w:r>
    </w:p>
    <w:p w14:paraId="3E02F9D6" w14:textId="77777777" w:rsidR="00427F92" w:rsidRPr="00B00B12" w:rsidRDefault="00427F92" w:rsidP="00427F92">
      <w:pPr>
        <w:pStyle w:val="Heading3"/>
        <w:rPr>
          <w:lang w:val="en-US"/>
        </w:rPr>
      </w:pPr>
      <w:r w:rsidRPr="00B00B12">
        <w:rPr>
          <w:lang w:val="en-US"/>
        </w:rPr>
        <w:t>Date Prepared</w:t>
      </w:r>
    </w:p>
    <w:p w14:paraId="133751AC" w14:textId="5D897E20" w:rsidR="00427F92" w:rsidRPr="00B00B12" w:rsidRDefault="00FD081E" w:rsidP="00427F92">
      <w:pPr>
        <w:rPr>
          <w:lang w:val="en-US"/>
        </w:rPr>
      </w:pPr>
      <w:r>
        <w:rPr>
          <w:lang w:val="en-US"/>
        </w:rPr>
        <w:t>1</w:t>
      </w:r>
      <w:r w:rsidR="00EB188F">
        <w:rPr>
          <w:lang w:val="en-US"/>
        </w:rPr>
        <w:t>1</w:t>
      </w:r>
      <w:r w:rsidR="00EB188F" w:rsidRPr="00AB393B">
        <w:rPr>
          <w:vertAlign w:val="superscript"/>
          <w:lang w:val="en-US"/>
        </w:rPr>
        <w:t>t</w:t>
      </w:r>
      <w:r>
        <w:rPr>
          <w:vertAlign w:val="superscript"/>
          <w:lang w:val="en-US"/>
        </w:rPr>
        <w:t>h</w:t>
      </w:r>
      <w:r w:rsidR="00EB188F">
        <w:rPr>
          <w:lang w:val="en-US"/>
        </w:rPr>
        <w:t xml:space="preserve"> </w:t>
      </w:r>
      <w:r>
        <w:rPr>
          <w:lang w:val="en-US"/>
        </w:rPr>
        <w:t>September</w:t>
      </w:r>
      <w:r w:rsidR="00EB188F">
        <w:rPr>
          <w:lang w:val="en-US"/>
        </w:rPr>
        <w:t xml:space="preserve"> 2020</w:t>
      </w:r>
      <w:bookmarkStart w:id="0" w:name="_GoBack"/>
      <w:bookmarkEnd w:id="0"/>
    </w:p>
    <w:p w14:paraId="4C44FF89" w14:textId="26C87803" w:rsidR="00427F92" w:rsidRDefault="00427F92" w:rsidP="00427F92">
      <w:pPr>
        <w:spacing w:after="0" w:line="240" w:lineRule="auto"/>
        <w:rPr>
          <w:rFonts w:eastAsia="Times New Roman" w:cs="Arial"/>
          <w:szCs w:val="20"/>
          <w:lang w:val="en-US"/>
        </w:rPr>
      </w:pPr>
      <w:r w:rsidRPr="00B1695F">
        <w:rPr>
          <w:rStyle w:val="Heading3Char"/>
          <w:rFonts w:eastAsia="Calibri"/>
        </w:rPr>
        <w:t>Checked by</w:t>
      </w:r>
      <w:r w:rsidRPr="00B00B12">
        <w:rPr>
          <w:rFonts w:eastAsia="Times New Roman" w:cs="Arial"/>
          <w:b/>
          <w:color w:val="0000FF"/>
          <w:szCs w:val="20"/>
          <w:lang w:val="en-US"/>
        </w:rPr>
        <w:br/>
      </w:r>
      <w:r w:rsidR="003D766B" w:rsidRPr="007C1AA7">
        <w:t>Gail Woodland</w:t>
      </w:r>
      <w:r w:rsidR="003D766B">
        <w:t xml:space="preserve">, Welsh Medicines Information Centre </w:t>
      </w:r>
    </w:p>
    <w:p w14:paraId="391DFAA8" w14:textId="48E9F24F" w:rsidR="00D34413" w:rsidRPr="00B00B12" w:rsidRDefault="00D34413" w:rsidP="00D34413">
      <w:pPr>
        <w:pStyle w:val="Heading3"/>
        <w:rPr>
          <w:lang w:val="en-US"/>
        </w:rPr>
      </w:pPr>
      <w:r w:rsidRPr="00B00B12">
        <w:rPr>
          <w:lang w:val="en-US"/>
        </w:rPr>
        <w:t xml:space="preserve">Date </w:t>
      </w:r>
      <w:r>
        <w:rPr>
          <w:lang w:val="en-US"/>
        </w:rPr>
        <w:t>of check</w:t>
      </w:r>
    </w:p>
    <w:p w14:paraId="33ED50AA" w14:textId="710F2F65" w:rsidR="00D34413" w:rsidRDefault="00D34413" w:rsidP="00A06450">
      <w:pPr>
        <w:rPr>
          <w:lang w:val="en-US"/>
        </w:rPr>
      </w:pPr>
      <w:r>
        <w:rPr>
          <w:lang w:val="en-US"/>
        </w:rPr>
        <w:t>20</w:t>
      </w:r>
      <w:r w:rsidRPr="00AB393B">
        <w:rPr>
          <w:vertAlign w:val="superscript"/>
          <w:lang w:val="en-US"/>
        </w:rPr>
        <w:t>t</w:t>
      </w:r>
      <w:r>
        <w:rPr>
          <w:vertAlign w:val="superscript"/>
          <w:lang w:val="en-US"/>
        </w:rPr>
        <w:t>h</w:t>
      </w:r>
      <w:r>
        <w:rPr>
          <w:lang w:val="en-US"/>
        </w:rPr>
        <w:t xml:space="preserve"> September 2020</w:t>
      </w:r>
    </w:p>
    <w:p w14:paraId="467EB0EA" w14:textId="38471B9D" w:rsidR="00427F92" w:rsidRPr="00B00B12" w:rsidRDefault="00AB393B" w:rsidP="00427F92">
      <w:pPr>
        <w:pStyle w:val="Heading3"/>
        <w:rPr>
          <w:lang w:val="en-US"/>
        </w:rPr>
      </w:pPr>
      <w:r>
        <w:rPr>
          <w:lang w:val="en-US"/>
        </w:rPr>
        <w:t>2020</w:t>
      </w:r>
      <w:r w:rsidR="00D34413">
        <w:rPr>
          <w:lang w:val="en-US"/>
        </w:rPr>
        <w:t xml:space="preserve"> </w:t>
      </w:r>
      <w:r w:rsidR="00427F92" w:rsidRPr="00B00B12">
        <w:rPr>
          <w:lang w:val="en-US"/>
        </w:rPr>
        <w:t>Search strategy</w:t>
      </w:r>
    </w:p>
    <w:p w14:paraId="0555C892" w14:textId="175D4B33" w:rsidR="003469E1" w:rsidRPr="007C1AA7" w:rsidRDefault="003469E1" w:rsidP="003469E1">
      <w:pPr>
        <w:numPr>
          <w:ilvl w:val="0"/>
          <w:numId w:val="10"/>
        </w:numPr>
        <w:spacing w:after="0" w:line="240" w:lineRule="auto"/>
        <w:jc w:val="both"/>
        <w:rPr>
          <w:rFonts w:cs="Arial"/>
        </w:rPr>
      </w:pPr>
      <w:r w:rsidRPr="007C1AA7">
        <w:rPr>
          <w:rFonts w:cs="Arial"/>
        </w:rPr>
        <w:t xml:space="preserve">Embase (potassium chloride and </w:t>
      </w:r>
      <w:proofErr w:type="spellStart"/>
      <w:r w:rsidRPr="007C1AA7">
        <w:rPr>
          <w:rFonts w:cs="Arial"/>
        </w:rPr>
        <w:t>hypokalemia</w:t>
      </w:r>
      <w:proofErr w:type="spellEnd"/>
      <w:r w:rsidRPr="007C1AA7">
        <w:rPr>
          <w:rFonts w:cs="Arial"/>
        </w:rPr>
        <w:t xml:space="preserve"> )</w:t>
      </w:r>
    </w:p>
    <w:p w14:paraId="46FC3672" w14:textId="54210E66" w:rsidR="003469E1" w:rsidRPr="007C1AA7" w:rsidRDefault="003469E1" w:rsidP="003469E1">
      <w:pPr>
        <w:numPr>
          <w:ilvl w:val="0"/>
          <w:numId w:val="10"/>
        </w:numPr>
        <w:spacing w:after="0" w:line="240" w:lineRule="auto"/>
        <w:jc w:val="both"/>
        <w:rPr>
          <w:rFonts w:cs="Arial"/>
        </w:rPr>
      </w:pPr>
      <w:proofErr w:type="spellStart"/>
      <w:r>
        <w:rPr>
          <w:rFonts w:cs="Arial"/>
        </w:rPr>
        <w:t>Pubmed</w:t>
      </w:r>
      <w:proofErr w:type="spellEnd"/>
      <w:r w:rsidRPr="007C1AA7">
        <w:rPr>
          <w:rFonts w:cs="Arial"/>
        </w:rPr>
        <w:t xml:space="preserve"> (potassium chloride and </w:t>
      </w:r>
      <w:proofErr w:type="spellStart"/>
      <w:r w:rsidRPr="007C1AA7">
        <w:rPr>
          <w:rFonts w:cs="Arial"/>
        </w:rPr>
        <w:t>hypokalemia</w:t>
      </w:r>
      <w:proofErr w:type="spellEnd"/>
      <w:r w:rsidRPr="007C1AA7">
        <w:rPr>
          <w:rFonts w:cs="Arial"/>
        </w:rPr>
        <w:t>)</w:t>
      </w:r>
    </w:p>
    <w:p w14:paraId="54C19019" w14:textId="77777777" w:rsidR="003469E1" w:rsidRPr="007C1AA7" w:rsidRDefault="003469E1" w:rsidP="003469E1">
      <w:pPr>
        <w:numPr>
          <w:ilvl w:val="0"/>
          <w:numId w:val="10"/>
        </w:numPr>
        <w:spacing w:after="0" w:line="240" w:lineRule="auto"/>
        <w:jc w:val="both"/>
        <w:rPr>
          <w:rFonts w:cs="Arial"/>
        </w:rPr>
      </w:pPr>
      <w:r w:rsidRPr="007C1AA7">
        <w:rPr>
          <w:rFonts w:cs="Arial"/>
        </w:rPr>
        <w:t>Micromedex (potassium chloride)</w:t>
      </w:r>
    </w:p>
    <w:p w14:paraId="20C2035F" w14:textId="77777777" w:rsidR="003469E1" w:rsidRPr="001E3DC5" w:rsidRDefault="003469E1" w:rsidP="003469E1">
      <w:pPr>
        <w:numPr>
          <w:ilvl w:val="0"/>
          <w:numId w:val="10"/>
        </w:numPr>
        <w:spacing w:after="0" w:line="240" w:lineRule="auto"/>
        <w:jc w:val="both"/>
        <w:rPr>
          <w:rFonts w:cs="Arial"/>
        </w:rPr>
      </w:pPr>
      <w:r w:rsidRPr="001E3DC5">
        <w:rPr>
          <w:rFonts w:cs="Arial"/>
        </w:rPr>
        <w:t>BNF (intravenous potassium)</w:t>
      </w:r>
    </w:p>
    <w:p w14:paraId="31810E71" w14:textId="175D1770" w:rsidR="00D1348B" w:rsidRPr="00D34413" w:rsidRDefault="00D1348B" w:rsidP="003469E1">
      <w:pPr>
        <w:numPr>
          <w:ilvl w:val="0"/>
          <w:numId w:val="10"/>
        </w:numPr>
        <w:spacing w:after="0" w:line="240" w:lineRule="auto"/>
        <w:jc w:val="both"/>
        <w:rPr>
          <w:rFonts w:cs="Arial"/>
          <w:color w:val="000000"/>
        </w:rPr>
      </w:pPr>
      <w:r w:rsidRPr="00D34413">
        <w:rPr>
          <w:rFonts w:cs="Arial"/>
          <w:color w:val="000000"/>
        </w:rPr>
        <w:t>SPS</w:t>
      </w:r>
      <w:r>
        <w:rPr>
          <w:rFonts w:cs="Arial"/>
          <w:color w:val="000000"/>
        </w:rPr>
        <w:t xml:space="preserve"> (potassium chloride)</w:t>
      </w:r>
    </w:p>
    <w:p w14:paraId="2A36AD94" w14:textId="77169460" w:rsidR="003469E1" w:rsidRPr="001E3DC5" w:rsidRDefault="003469E1" w:rsidP="003469E1">
      <w:pPr>
        <w:numPr>
          <w:ilvl w:val="0"/>
          <w:numId w:val="10"/>
        </w:numPr>
        <w:spacing w:after="0" w:line="240" w:lineRule="auto"/>
        <w:jc w:val="both"/>
        <w:rPr>
          <w:rFonts w:cs="Arial"/>
          <w:color w:val="000000"/>
        </w:rPr>
      </w:pPr>
      <w:r>
        <w:rPr>
          <w:rFonts w:cs="Arial"/>
          <w:color w:val="000000"/>
        </w:rPr>
        <w:t>NICE Evidence (</w:t>
      </w:r>
      <w:r w:rsidR="002A2154">
        <w:rPr>
          <w:rFonts w:cs="Arial"/>
          <w:color w:val="000000"/>
        </w:rPr>
        <w:t xml:space="preserve">potassium </w:t>
      </w:r>
      <w:r>
        <w:rPr>
          <w:rFonts w:cs="Arial"/>
          <w:color w:val="000000"/>
        </w:rPr>
        <w:t>chloride)</w:t>
      </w:r>
      <w:r w:rsidR="00132068">
        <w:rPr>
          <w:rFonts w:cs="Arial"/>
          <w:color w:val="000000"/>
        </w:rPr>
        <w:t xml:space="preserve"> </w:t>
      </w:r>
    </w:p>
    <w:p w14:paraId="0EADBFCA" w14:textId="77777777" w:rsidR="003469E1" w:rsidRPr="001E3DC5" w:rsidRDefault="003469E1" w:rsidP="003469E1">
      <w:pPr>
        <w:numPr>
          <w:ilvl w:val="0"/>
          <w:numId w:val="10"/>
        </w:numPr>
        <w:spacing w:after="0" w:line="240" w:lineRule="auto"/>
        <w:jc w:val="both"/>
        <w:rPr>
          <w:rFonts w:cs="Arial"/>
          <w:color w:val="000000"/>
        </w:rPr>
      </w:pPr>
      <w:proofErr w:type="spellStart"/>
      <w:r w:rsidRPr="001E3DC5">
        <w:rPr>
          <w:rFonts w:cs="Arial"/>
          <w:color w:val="000000"/>
        </w:rPr>
        <w:t>eMC</w:t>
      </w:r>
      <w:proofErr w:type="spellEnd"/>
      <w:r w:rsidRPr="001E3DC5">
        <w:rPr>
          <w:rFonts w:cs="Arial"/>
          <w:color w:val="000000"/>
        </w:rPr>
        <w:t xml:space="preserve"> (potassium chloride)</w:t>
      </w:r>
    </w:p>
    <w:p w14:paraId="3AA364A0" w14:textId="77777777" w:rsidR="003469E1" w:rsidRPr="001E3DC5" w:rsidRDefault="003469E1" w:rsidP="003469E1">
      <w:pPr>
        <w:numPr>
          <w:ilvl w:val="0"/>
          <w:numId w:val="10"/>
        </w:numPr>
        <w:spacing w:after="0" w:line="240" w:lineRule="auto"/>
        <w:jc w:val="both"/>
        <w:rPr>
          <w:rFonts w:cs="Arial"/>
          <w:color w:val="000000"/>
        </w:rPr>
      </w:pPr>
      <w:r w:rsidRPr="001E3DC5">
        <w:rPr>
          <w:rFonts w:cs="Arial"/>
          <w:color w:val="000000"/>
        </w:rPr>
        <w:t>Injectable Medicines Guide</w:t>
      </w:r>
    </w:p>
    <w:p w14:paraId="29582977" w14:textId="77777777" w:rsidR="003469E1" w:rsidRPr="001E3DC5" w:rsidRDefault="003469E1" w:rsidP="003469E1">
      <w:pPr>
        <w:numPr>
          <w:ilvl w:val="0"/>
          <w:numId w:val="10"/>
        </w:numPr>
        <w:spacing w:after="0" w:line="240" w:lineRule="auto"/>
        <w:jc w:val="both"/>
        <w:rPr>
          <w:rFonts w:cs="Arial"/>
          <w:color w:val="000000"/>
        </w:rPr>
      </w:pPr>
      <w:r w:rsidRPr="001E3DC5">
        <w:rPr>
          <w:rFonts w:cs="Arial"/>
          <w:color w:val="000000"/>
        </w:rPr>
        <w:t>Injectable Drugs Guide</w:t>
      </w:r>
    </w:p>
    <w:p w14:paraId="363B7DD1" w14:textId="11028F98" w:rsidR="003469E1" w:rsidRPr="001E3DC5" w:rsidRDefault="003469E1" w:rsidP="003469E1">
      <w:pPr>
        <w:numPr>
          <w:ilvl w:val="0"/>
          <w:numId w:val="10"/>
        </w:numPr>
        <w:spacing w:after="0" w:line="240" w:lineRule="auto"/>
        <w:jc w:val="both"/>
        <w:rPr>
          <w:rFonts w:cs="Arial"/>
          <w:color w:val="000000"/>
        </w:rPr>
      </w:pPr>
      <w:r w:rsidRPr="001E3DC5">
        <w:rPr>
          <w:rFonts w:cs="Arial"/>
          <w:color w:val="000000"/>
        </w:rPr>
        <w:t>MiDatabank (potassium chloride or potassium salts AND administration-intravenous)</w:t>
      </w:r>
    </w:p>
    <w:p w14:paraId="23568E9F" w14:textId="77777777" w:rsidR="003469E1" w:rsidRPr="00427F92" w:rsidRDefault="003469E1" w:rsidP="00427F92"/>
    <w:sectPr w:rsidR="003469E1" w:rsidRPr="00427F92" w:rsidSect="004F475C">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85C43" w14:textId="77777777" w:rsidR="001D6798" w:rsidRDefault="001D6798" w:rsidP="00B2372E">
      <w:pPr>
        <w:spacing w:after="0" w:line="240" w:lineRule="auto"/>
      </w:pPr>
      <w:r>
        <w:separator/>
      </w:r>
    </w:p>
  </w:endnote>
  <w:endnote w:type="continuationSeparator" w:id="0">
    <w:p w14:paraId="12E1D3B9" w14:textId="77777777" w:rsidR="001D6798" w:rsidRDefault="001D6798" w:rsidP="00B2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51405" w14:textId="77777777" w:rsidR="00B2372E" w:rsidRPr="006945F6" w:rsidRDefault="00B2372E" w:rsidP="00B2372E">
    <w:pPr>
      <w:pStyle w:val="Footer"/>
      <w:ind w:right="360"/>
      <w:rPr>
        <w:color w:val="A6A6A6"/>
      </w:rPr>
    </w:pPr>
    <w:r w:rsidRPr="006945F6">
      <w:rPr>
        <w:color w:val="A6A6A6"/>
      </w:rPr>
      <w:t xml:space="preserve">Available through </w:t>
    </w:r>
    <w:r>
      <w:rPr>
        <w:color w:val="A6A6A6"/>
      </w:rPr>
      <w:t>Specialist Pharmacy Service</w:t>
    </w:r>
    <w:r w:rsidRPr="006945F6">
      <w:rPr>
        <w:color w:val="A6A6A6"/>
      </w:rPr>
      <w:t xml:space="preserve"> at </w:t>
    </w:r>
  </w:p>
  <w:p w14:paraId="353E0D76" w14:textId="77777777" w:rsidR="00B2372E" w:rsidRPr="006945F6" w:rsidRDefault="00A06450" w:rsidP="00B2372E">
    <w:pPr>
      <w:pStyle w:val="Footer"/>
      <w:ind w:right="360"/>
      <w:rPr>
        <w:color w:val="A6A6A6"/>
      </w:rPr>
    </w:pPr>
    <w:hyperlink r:id="rId1" w:history="1">
      <w:r w:rsidR="00B2372E" w:rsidRPr="00AB2D91">
        <w:rPr>
          <w:rStyle w:val="Hyperlink"/>
        </w:rPr>
        <w:t>www.sps.nhs.uk</w:t>
      </w:r>
    </w:hyperlink>
    <w:r w:rsidR="00B2372E">
      <w:rPr>
        <w:color w:val="A6A6A6"/>
      </w:rPr>
      <w:t xml:space="preserve"> </w:t>
    </w:r>
  </w:p>
  <w:p w14:paraId="28973545" w14:textId="77777777" w:rsidR="00B2372E" w:rsidRDefault="00B23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FFB93" w14:textId="77777777" w:rsidR="001D6798" w:rsidRDefault="001D6798" w:rsidP="00B2372E">
      <w:pPr>
        <w:spacing w:after="0" w:line="240" w:lineRule="auto"/>
      </w:pPr>
      <w:r>
        <w:separator/>
      </w:r>
    </w:p>
  </w:footnote>
  <w:footnote w:type="continuationSeparator" w:id="0">
    <w:p w14:paraId="5B547E30" w14:textId="77777777" w:rsidR="001D6798" w:rsidRDefault="001D6798" w:rsidP="00B23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1633E" w14:textId="77777777" w:rsidR="00B2372E" w:rsidRPr="00B1695F" w:rsidRDefault="003A21B9" w:rsidP="003A21B9">
    <w:pPr>
      <w:pStyle w:val="Header"/>
      <w:tabs>
        <w:tab w:val="clear" w:pos="4513"/>
        <w:tab w:val="clear" w:pos="9026"/>
        <w:tab w:val="left" w:pos="7650"/>
      </w:tabs>
      <w:rPr>
        <w:b/>
        <w:color w:val="0070C0"/>
      </w:rPr>
    </w:pPr>
    <w:r>
      <w:rPr>
        <w:b/>
        <w:noProof/>
        <w:color w:val="0070C0"/>
        <w:sz w:val="24"/>
        <w:lang w:eastAsia="en-GB"/>
      </w:rPr>
      <w:drawing>
        <wp:anchor distT="0" distB="0" distL="114300" distR="114300" simplePos="0" relativeHeight="251661312" behindDoc="0" locked="0" layoutInCell="1" allowOverlap="1" wp14:anchorId="4D29EA7A" wp14:editId="5C151F5D">
          <wp:simplePos x="0" y="0"/>
          <wp:positionH relativeFrom="column">
            <wp:posOffset>2867025</wp:posOffset>
          </wp:positionH>
          <wp:positionV relativeFrom="paragraph">
            <wp:posOffset>-182880</wp:posOffset>
          </wp:positionV>
          <wp:extent cx="2876550" cy="514350"/>
          <wp:effectExtent l="19050" t="0" r="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876550" cy="514350"/>
                  </a:xfrm>
                  <a:prstGeom prst="rect">
                    <a:avLst/>
                  </a:prstGeom>
                  <a:noFill/>
                  <a:ln w="9525">
                    <a:noFill/>
                    <a:miter lim="800000"/>
                    <a:headEnd/>
                    <a:tailEnd/>
                  </a:ln>
                </pic:spPr>
              </pic:pic>
            </a:graphicData>
          </a:graphic>
        </wp:anchor>
      </w:drawing>
    </w:r>
    <w:r w:rsidR="00883139">
      <w:rPr>
        <w:b/>
        <w:noProof/>
        <w:color w:val="0070C0"/>
        <w:sz w:val="24"/>
        <w:lang w:eastAsia="en-GB"/>
      </w:rPr>
      <mc:AlternateContent>
        <mc:Choice Requires="wps">
          <w:drawing>
            <wp:anchor distT="0" distB="0" distL="114300" distR="114300" simplePos="0" relativeHeight="251663360" behindDoc="0" locked="0" layoutInCell="1" allowOverlap="1" wp14:anchorId="316112D8" wp14:editId="741CBD0F">
              <wp:simplePos x="0" y="0"/>
              <wp:positionH relativeFrom="column">
                <wp:posOffset>187960</wp:posOffset>
              </wp:positionH>
              <wp:positionV relativeFrom="paragraph">
                <wp:posOffset>-87630</wp:posOffset>
              </wp:positionV>
              <wp:extent cx="1393190" cy="28257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9D0F4" w14:textId="77777777" w:rsidR="003A21B9" w:rsidRPr="00B1695F" w:rsidRDefault="003A21B9" w:rsidP="003A21B9">
                          <w:pPr>
                            <w:pStyle w:val="Header"/>
                            <w:tabs>
                              <w:tab w:val="clear" w:pos="4513"/>
                              <w:tab w:val="clear" w:pos="9026"/>
                              <w:tab w:val="left" w:pos="7650"/>
                            </w:tabs>
                            <w:rPr>
                              <w:b/>
                              <w:color w:val="0070C0"/>
                            </w:rPr>
                          </w:pPr>
                          <w:r w:rsidRPr="00B1695F">
                            <w:rPr>
                              <w:b/>
                              <w:color w:val="0070C0"/>
                              <w:sz w:val="24"/>
                            </w:rPr>
                            <w:t>Medicines Q&amp;As</w:t>
                          </w:r>
                        </w:p>
                        <w:p w14:paraId="0761D65E" w14:textId="77777777" w:rsidR="003A21B9" w:rsidRDefault="003A21B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6112D8" id="_x0000_t202" coordsize="21600,21600" o:spt="202" path="m,l,21600r21600,l21600,xe">
              <v:stroke joinstyle="miter"/>
              <v:path gradientshapeok="t" o:connecttype="rect"/>
            </v:shapetype>
            <v:shape id="Text Box 5" o:spid="_x0000_s1026" type="#_x0000_t202" style="position:absolute;margin-left:14.8pt;margin-top:-6.9pt;width:109.7pt;height: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LMntg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cYCdpDix7Z3qA7uUexrc446AycHgZwM3s4hi67TPVwL6tvGgm5bKnYsFul5NgyWgO70N70L65O&#10;ONqCrMePsoYwdGukA9o3qrelg2IgQIcuPZ06Y6lUNuR1eh2mYKrAFiVRPHfkfJodbw9Km/dM9sgu&#10;cqyg8w6d7u61sWxodnSxwYQsede57nfi2QE4TicQG65am2XhmvkzDdJVskqIR6LZyiNBUXi35ZJ4&#10;szKcx8V1sVwW4S8bNyRZy+uaCRvmKKyQ/FnjDhKfJHGSlpYdry2cpaTVZr3sFNpREHbpPldzsJzd&#10;/Oc0XBEglxcphREJ7qLUK2fJ3CMlib10HiReEKZ36SwgKSnK5yndc8H+PSU05jiNo3gS05n0i9wC&#10;973OjWY9NzA6Ot7nODk50cxKcCVq11pDeTetL0ph6Z9LAe0+NtoJ1mp0UqvZr/eAYlW8lvUTSFdJ&#10;UBaIEOYdLFqpfmA0wuzIsf6+pYph1H0QIP80JMQOG7ch8TyCjbq0rC8tVFQAlWOD0bRcmmlAbQfF&#10;Ny1Emh6ckLfwZBru1HxmdXhoMB9cUodZZgfQ5d55nSfu4jcAAAD//wMAUEsDBBQABgAIAAAAIQAz&#10;ZfVu3gAAAAkBAAAPAAAAZHJzL2Rvd25yZXYueG1sTI/BTsMwEETvSPyDtUjcWrtpaUnIpkIgriAK&#10;ReLmJtskIl5HsduEv2c5wXG1o5n38u3kOnWmIbSeERZzA4q49FXLNcL729PsFlSIlivbeSaEbwqw&#10;LS4vcptVfuRXOu9iraSEQ2YRmhj7TOtQNuRsmPueWH5HPzgb5RxqXQ12lHLX6cSYtXa2ZVlobE8P&#10;DZVfu5ND2D8fPz9W5qV+dDf96Cej2aUa8fpqur8DFWmKf2H4xRd0KITp4E9cBdUhJOlakgizxVIU&#10;JJCsUpE7ICzNBnSR6/8GxQ8AAAD//wMAUEsBAi0AFAAGAAgAAAAhALaDOJL+AAAA4QEAABMAAAAA&#10;AAAAAAAAAAAAAAAAAFtDb250ZW50X1R5cGVzXS54bWxQSwECLQAUAAYACAAAACEAOP0h/9YAAACU&#10;AQAACwAAAAAAAAAAAAAAAAAvAQAAX3JlbHMvLnJlbHNQSwECLQAUAAYACAAAACEAHOizJ7YCAAC5&#10;BQAADgAAAAAAAAAAAAAAAAAuAgAAZHJzL2Uyb0RvYy54bWxQSwECLQAUAAYACAAAACEAM2X1bt4A&#10;AAAJAQAADwAAAAAAAAAAAAAAAAAQBQAAZHJzL2Rvd25yZXYueG1sUEsFBgAAAAAEAAQA8wAAABsG&#10;AAAAAA==&#10;" filled="f" stroked="f">
              <v:textbox>
                <w:txbxContent>
                  <w:p w14:paraId="06C9D0F4" w14:textId="77777777" w:rsidR="003A21B9" w:rsidRPr="00B1695F" w:rsidRDefault="003A21B9" w:rsidP="003A21B9">
                    <w:pPr>
                      <w:pStyle w:val="Header"/>
                      <w:tabs>
                        <w:tab w:val="clear" w:pos="4513"/>
                        <w:tab w:val="clear" w:pos="9026"/>
                        <w:tab w:val="left" w:pos="7650"/>
                      </w:tabs>
                      <w:rPr>
                        <w:b/>
                        <w:color w:val="0070C0"/>
                      </w:rPr>
                    </w:pPr>
                    <w:r w:rsidRPr="00B1695F">
                      <w:rPr>
                        <w:b/>
                        <w:color w:val="0070C0"/>
                        <w:sz w:val="24"/>
                      </w:rPr>
                      <w:t>Medicines Q&amp;As</w:t>
                    </w:r>
                  </w:p>
                  <w:p w14:paraId="0761D65E" w14:textId="77777777" w:rsidR="003A21B9" w:rsidRDefault="003A21B9"/>
                </w:txbxContent>
              </v:textbox>
            </v:shape>
          </w:pict>
        </mc:Fallback>
      </mc:AlternateContent>
    </w:r>
  </w:p>
  <w:p w14:paraId="2E892FBF" w14:textId="77777777" w:rsidR="00B2372E" w:rsidRDefault="00883139">
    <w:pPr>
      <w:pStyle w:val="Header"/>
    </w:pPr>
    <w:r>
      <w:rPr>
        <w:b/>
        <w:noProof/>
        <w:color w:val="0070C0"/>
        <w:sz w:val="24"/>
        <w:lang w:eastAsia="en-GB"/>
      </w:rPr>
      <mc:AlternateContent>
        <mc:Choice Requires="wps">
          <w:drawing>
            <wp:anchor distT="0" distB="0" distL="114300" distR="114300" simplePos="0" relativeHeight="251660288" behindDoc="0" locked="0" layoutInCell="1" allowOverlap="1" wp14:anchorId="0D8DEB6D" wp14:editId="188D7B8F">
              <wp:simplePos x="0" y="0"/>
              <wp:positionH relativeFrom="column">
                <wp:posOffset>6985</wp:posOffset>
              </wp:positionH>
              <wp:positionV relativeFrom="paragraph">
                <wp:posOffset>15875</wp:posOffset>
              </wp:positionV>
              <wp:extent cx="1762125" cy="0"/>
              <wp:effectExtent l="16510" t="15875" r="12065" b="127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line">
                        <a:avLst/>
                      </a:prstGeom>
                      <a:noFill/>
                      <a:ln w="222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D1FBA"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25pt" to="139.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F7FAIAACkEAAAOAAAAZHJzL2Uyb0RvYy54bWysU8uu2yAQ3VfqPyD2iR91HteKc1XZSTdp&#10;G+nefgABHKNiQEDiRFX/vQN5tGk3VVUvMI8zhzNzhsXzqZfoyK0TWlU4G6cYcUU1E2pf4S+v69Ec&#10;I+eJYkRqxSt85g4/L9++WQym5LnutGTcIiBRrhxMhTvvTZkkjna8J26sDVdw2GrbEw9Lu0+YJQOw&#10;9zLJ03SaDNoyYzXlzsFucznEy8jftpz6z23ruEeywqDNx9HGcRfGZLkg5d4S0wl6lUH+QUVPhIJL&#10;71QN8QQdrPiDqhfUaqdbP6a6T3TbCspjDpBNlv6WzUtHDI+5QHGcuZfJ/T9a+um4tUgw8A4jRXqw&#10;aCMUR1mozGBcCYBabW3IjZ7Ui9lo+tUhpeuOqD2PCl/PBsJiRPIQEhbOAP9u+KgZYMjB61imU2v7&#10;QAkFQKfoxvnuBj95RGEzm03zLJ9gRG9nCSlvgcY6/4HrHoVJhSVojsTkuHEepAP0Bgn3KL0WUkaz&#10;pUJDhXP4JjHCaSlYOA04Z/e7Wlp0JKFf0llaxxYBtgeY1QfFIlvHCVtd554IeZkDXqrAB7mAnuvs&#10;0hDfntKn1Xw1L0ZFPl2NirRpRu/XdTGarrPZpHnX1HWTfQ/SsqLsBGNcBXW35syKvzP/+kwubXVv&#10;z3sdkkf2WDAQe/tH0dHM4N+lE3aanbc21Db4Cv0Ywde3Exr+13VE/Xzhyx8AAAD//wMAUEsDBBQA&#10;BgAIAAAAIQCx+/XT2gAAAAUBAAAPAAAAZHJzL2Rvd25yZXYueG1sTI7BTsMwEETvSPyDtUhcEHWa&#10;0lKFOBUgUXFBgrTcHXubRMTrELtt+vcsXOjxaUYzL1+NrhMHHELrScF0koBAMt62VCvYbl5ulyBC&#10;1GR15wkVnDDAqri8yHVm/ZE+8FDGWvAIhUwraGLsMymDadDpMPE9Emc7PzgdGYda2kEfedx1Mk2S&#10;hXS6JX5odI/PDZqvcu8UrKv3m9enz83drKx227X5Nm/SB6Wur8bHBxARx/hfhl99VoeCnSq/JxtE&#10;xzzlooJ0DoLT9H65AFH9sSxyeW5f/AAAAP//AwBQSwECLQAUAAYACAAAACEAtoM4kv4AAADhAQAA&#10;EwAAAAAAAAAAAAAAAAAAAAAAW0NvbnRlbnRfVHlwZXNdLnhtbFBLAQItABQABgAIAAAAIQA4/SH/&#10;1gAAAJQBAAALAAAAAAAAAAAAAAAAAC8BAABfcmVscy8ucmVsc1BLAQItABQABgAIAAAAIQA2hkF7&#10;FAIAACkEAAAOAAAAAAAAAAAAAAAAAC4CAABkcnMvZTJvRG9jLnhtbFBLAQItABQABgAIAAAAIQCx&#10;+/XT2gAAAAUBAAAPAAAAAAAAAAAAAAAAAG4EAABkcnMvZG93bnJldi54bWxQSwUGAAAAAAQABADz&#10;AAAAdQUAAAAA&#10;" strokecolor="#0070c0" strokeweight="1.7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F42B4"/>
    <w:multiLevelType w:val="hybridMultilevel"/>
    <w:tmpl w:val="78DC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003DC"/>
    <w:multiLevelType w:val="hybridMultilevel"/>
    <w:tmpl w:val="0D8C2666"/>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77185"/>
    <w:multiLevelType w:val="hybridMultilevel"/>
    <w:tmpl w:val="81FACF7E"/>
    <w:lvl w:ilvl="0" w:tplc="E3E43F9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03502"/>
    <w:multiLevelType w:val="hybridMultilevel"/>
    <w:tmpl w:val="AFBE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60569"/>
    <w:multiLevelType w:val="hybridMultilevel"/>
    <w:tmpl w:val="69D8F3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DC657B"/>
    <w:multiLevelType w:val="hybridMultilevel"/>
    <w:tmpl w:val="DC16DEE4"/>
    <w:lvl w:ilvl="0" w:tplc="A25C16A0">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AD4BFB"/>
    <w:multiLevelType w:val="hybridMultilevel"/>
    <w:tmpl w:val="43AA64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C437541"/>
    <w:multiLevelType w:val="hybridMultilevel"/>
    <w:tmpl w:val="2BFC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B610C0"/>
    <w:multiLevelType w:val="hybridMultilevel"/>
    <w:tmpl w:val="7E666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99E4766"/>
    <w:multiLevelType w:val="hybridMultilevel"/>
    <w:tmpl w:val="9CC81D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955D0D"/>
    <w:multiLevelType w:val="hybridMultilevel"/>
    <w:tmpl w:val="2818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3E29E4"/>
    <w:multiLevelType w:val="hybridMultilevel"/>
    <w:tmpl w:val="9A2E7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4"/>
  </w:num>
  <w:num w:numId="3">
    <w:abstractNumId w:val="12"/>
  </w:num>
  <w:num w:numId="4">
    <w:abstractNumId w:val="3"/>
  </w:num>
  <w:num w:numId="5">
    <w:abstractNumId w:val="2"/>
  </w:num>
  <w:num w:numId="6">
    <w:abstractNumId w:val="9"/>
  </w:num>
  <w:num w:numId="7">
    <w:abstractNumId w:val="8"/>
  </w:num>
  <w:num w:numId="8">
    <w:abstractNumId w:val="1"/>
  </w:num>
  <w:num w:numId="9">
    <w:abstractNumId w:val="10"/>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6"/>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72E"/>
    <w:rsid w:val="00052FAA"/>
    <w:rsid w:val="000853E8"/>
    <w:rsid w:val="00094659"/>
    <w:rsid w:val="00101225"/>
    <w:rsid w:val="0011315E"/>
    <w:rsid w:val="00132068"/>
    <w:rsid w:val="00150DF8"/>
    <w:rsid w:val="001A5F4B"/>
    <w:rsid w:val="001B1EDC"/>
    <w:rsid w:val="001B542D"/>
    <w:rsid w:val="001D6798"/>
    <w:rsid w:val="001E2597"/>
    <w:rsid w:val="0024063C"/>
    <w:rsid w:val="00247973"/>
    <w:rsid w:val="00261231"/>
    <w:rsid w:val="002A2154"/>
    <w:rsid w:val="002A64AB"/>
    <w:rsid w:val="002D34C6"/>
    <w:rsid w:val="003469E1"/>
    <w:rsid w:val="003A21B9"/>
    <w:rsid w:val="003B2C39"/>
    <w:rsid w:val="003D766B"/>
    <w:rsid w:val="00427F92"/>
    <w:rsid w:val="0043101C"/>
    <w:rsid w:val="00461D73"/>
    <w:rsid w:val="00484AEE"/>
    <w:rsid w:val="00487D9E"/>
    <w:rsid w:val="004F475C"/>
    <w:rsid w:val="00503066"/>
    <w:rsid w:val="005A6F4A"/>
    <w:rsid w:val="005B3970"/>
    <w:rsid w:val="005C033F"/>
    <w:rsid w:val="005F2A4F"/>
    <w:rsid w:val="00665AFD"/>
    <w:rsid w:val="006C3FD6"/>
    <w:rsid w:val="00761455"/>
    <w:rsid w:val="007723E4"/>
    <w:rsid w:val="00791F19"/>
    <w:rsid w:val="007A358C"/>
    <w:rsid w:val="007F6291"/>
    <w:rsid w:val="00863C6F"/>
    <w:rsid w:val="00883139"/>
    <w:rsid w:val="008C7B2C"/>
    <w:rsid w:val="00901F2F"/>
    <w:rsid w:val="00910667"/>
    <w:rsid w:val="00934C6D"/>
    <w:rsid w:val="00961852"/>
    <w:rsid w:val="00972555"/>
    <w:rsid w:val="009F46A0"/>
    <w:rsid w:val="00A06450"/>
    <w:rsid w:val="00A15AF4"/>
    <w:rsid w:val="00A5099A"/>
    <w:rsid w:val="00A9092D"/>
    <w:rsid w:val="00AA26B1"/>
    <w:rsid w:val="00AA7142"/>
    <w:rsid w:val="00AB393B"/>
    <w:rsid w:val="00AC4870"/>
    <w:rsid w:val="00AF7FB0"/>
    <w:rsid w:val="00B2372E"/>
    <w:rsid w:val="00B46969"/>
    <w:rsid w:val="00B556EF"/>
    <w:rsid w:val="00B5706D"/>
    <w:rsid w:val="00B84AE9"/>
    <w:rsid w:val="00BA0872"/>
    <w:rsid w:val="00BC34B1"/>
    <w:rsid w:val="00BE4DE1"/>
    <w:rsid w:val="00BF4269"/>
    <w:rsid w:val="00C54A03"/>
    <w:rsid w:val="00C648FD"/>
    <w:rsid w:val="00CB4324"/>
    <w:rsid w:val="00CB5B52"/>
    <w:rsid w:val="00CD45F3"/>
    <w:rsid w:val="00D129F3"/>
    <w:rsid w:val="00D1348B"/>
    <w:rsid w:val="00D21A27"/>
    <w:rsid w:val="00D34413"/>
    <w:rsid w:val="00D576E3"/>
    <w:rsid w:val="00DC584A"/>
    <w:rsid w:val="00E06D58"/>
    <w:rsid w:val="00E156DD"/>
    <w:rsid w:val="00E3081B"/>
    <w:rsid w:val="00E45E1D"/>
    <w:rsid w:val="00EB188F"/>
    <w:rsid w:val="00EE6124"/>
    <w:rsid w:val="00EF2CBA"/>
    <w:rsid w:val="00FD081E"/>
    <w:rsid w:val="00FF3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68BDA3CF"/>
  <w15:docId w15:val="{72BF7818-7C85-4982-AD47-A18487BB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72E"/>
    <w:rPr>
      <w:rFonts w:ascii="Arial" w:eastAsia="Calibri" w:hAnsi="Arial" w:cs="Times New Roman"/>
      <w:sz w:val="20"/>
    </w:rPr>
  </w:style>
  <w:style w:type="paragraph" w:styleId="Heading1">
    <w:name w:val="heading 1"/>
    <w:basedOn w:val="Normal"/>
    <w:next w:val="Normal"/>
    <w:link w:val="Heading1Char"/>
    <w:uiPriority w:val="9"/>
    <w:qFormat/>
    <w:rsid w:val="00B2372E"/>
    <w:pPr>
      <w:keepNext/>
      <w:keepLines/>
      <w:spacing w:after="0"/>
      <w:jc w:val="center"/>
      <w:outlineLvl w:val="0"/>
    </w:pPr>
    <w:rPr>
      <w:rFonts w:eastAsia="Times New Roman"/>
      <w:b/>
      <w:bCs/>
      <w:color w:val="0070C0"/>
      <w:sz w:val="28"/>
      <w:szCs w:val="28"/>
    </w:rPr>
  </w:style>
  <w:style w:type="paragraph" w:styleId="Heading2">
    <w:name w:val="heading 2"/>
    <w:basedOn w:val="Normal"/>
    <w:next w:val="Normal"/>
    <w:link w:val="Heading2Char"/>
    <w:qFormat/>
    <w:rsid w:val="00B2372E"/>
    <w:pPr>
      <w:keepNext/>
      <w:spacing w:after="0" w:line="240" w:lineRule="auto"/>
      <w:outlineLvl w:val="1"/>
    </w:pPr>
    <w:rPr>
      <w:rFonts w:eastAsia="Times New Roman"/>
      <w:b/>
      <w:bCs/>
      <w:color w:val="0070C0"/>
      <w:sz w:val="24"/>
      <w:szCs w:val="20"/>
      <w:lang w:val="en-US"/>
    </w:rPr>
  </w:style>
  <w:style w:type="paragraph" w:styleId="Heading3">
    <w:name w:val="heading 3"/>
    <w:basedOn w:val="Normal"/>
    <w:next w:val="Normal"/>
    <w:link w:val="Heading3Char"/>
    <w:uiPriority w:val="9"/>
    <w:unhideWhenUsed/>
    <w:qFormat/>
    <w:rsid w:val="00B2372E"/>
    <w:pPr>
      <w:keepNext/>
      <w:keepLines/>
      <w:spacing w:before="200" w:after="0"/>
      <w:outlineLvl w:val="2"/>
    </w:pPr>
    <w:rPr>
      <w:rFonts w:eastAsia="Times New Roman"/>
      <w:b/>
      <w:bCs/>
      <w:color w:val="0070C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72E"/>
    <w:rPr>
      <w:rFonts w:ascii="Arial" w:eastAsia="Times New Roman" w:hAnsi="Arial" w:cs="Times New Roman"/>
      <w:b/>
      <w:bCs/>
      <w:color w:val="0070C0"/>
      <w:sz w:val="28"/>
      <w:szCs w:val="28"/>
    </w:rPr>
  </w:style>
  <w:style w:type="character" w:customStyle="1" w:styleId="Heading2Char">
    <w:name w:val="Heading 2 Char"/>
    <w:basedOn w:val="DefaultParagraphFont"/>
    <w:link w:val="Heading2"/>
    <w:rsid w:val="00B2372E"/>
    <w:rPr>
      <w:rFonts w:ascii="Arial" w:eastAsia="Times New Roman" w:hAnsi="Arial" w:cs="Times New Roman"/>
      <w:b/>
      <w:bCs/>
      <w:color w:val="0070C0"/>
      <w:sz w:val="24"/>
      <w:szCs w:val="20"/>
      <w:lang w:val="en-US"/>
    </w:rPr>
  </w:style>
  <w:style w:type="character" w:customStyle="1" w:styleId="Heading3Char">
    <w:name w:val="Heading 3 Char"/>
    <w:basedOn w:val="DefaultParagraphFont"/>
    <w:link w:val="Heading3"/>
    <w:uiPriority w:val="9"/>
    <w:rsid w:val="00B2372E"/>
    <w:rPr>
      <w:rFonts w:ascii="Arial" w:eastAsia="Times New Roman" w:hAnsi="Arial" w:cs="Times New Roman"/>
      <w:b/>
      <w:bCs/>
      <w:color w:val="0070C0"/>
      <w:sz w:val="20"/>
      <w:szCs w:val="20"/>
    </w:rPr>
  </w:style>
  <w:style w:type="character" w:styleId="Hyperlink">
    <w:name w:val="Hyperlink"/>
    <w:rsid w:val="00B2372E"/>
    <w:rPr>
      <w:color w:val="0000FF"/>
      <w:u w:val="single"/>
    </w:rPr>
  </w:style>
  <w:style w:type="paragraph" w:styleId="ListParagraph">
    <w:name w:val="List Paragraph"/>
    <w:basedOn w:val="Normal"/>
    <w:uiPriority w:val="34"/>
    <w:qFormat/>
    <w:rsid w:val="00B2372E"/>
    <w:pPr>
      <w:ind w:left="720"/>
      <w:contextualSpacing/>
    </w:pPr>
  </w:style>
  <w:style w:type="paragraph" w:styleId="Header">
    <w:name w:val="header"/>
    <w:basedOn w:val="Normal"/>
    <w:link w:val="HeaderChar"/>
    <w:unhideWhenUsed/>
    <w:rsid w:val="00B237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372E"/>
    <w:rPr>
      <w:rFonts w:ascii="Arial" w:eastAsia="Calibri" w:hAnsi="Arial" w:cs="Times New Roman"/>
      <w:sz w:val="20"/>
    </w:rPr>
  </w:style>
  <w:style w:type="paragraph" w:styleId="Footer">
    <w:name w:val="footer"/>
    <w:basedOn w:val="Normal"/>
    <w:link w:val="FooterChar"/>
    <w:unhideWhenUsed/>
    <w:rsid w:val="00B2372E"/>
    <w:pPr>
      <w:tabs>
        <w:tab w:val="center" w:pos="4513"/>
        <w:tab w:val="right" w:pos="9026"/>
      </w:tabs>
      <w:spacing w:after="0" w:line="240" w:lineRule="auto"/>
    </w:pPr>
  </w:style>
  <w:style w:type="character" w:customStyle="1" w:styleId="FooterChar">
    <w:name w:val="Footer Char"/>
    <w:basedOn w:val="DefaultParagraphFont"/>
    <w:link w:val="Footer"/>
    <w:rsid w:val="00B2372E"/>
    <w:rPr>
      <w:rFonts w:ascii="Arial" w:eastAsia="Calibri" w:hAnsi="Arial" w:cs="Times New Roman"/>
      <w:sz w:val="20"/>
    </w:rPr>
  </w:style>
  <w:style w:type="paragraph" w:styleId="NoSpacing">
    <w:name w:val="No Spacing"/>
    <w:uiPriority w:val="1"/>
    <w:qFormat/>
    <w:rsid w:val="00B2372E"/>
    <w:pPr>
      <w:spacing w:after="0" w:line="240" w:lineRule="auto"/>
    </w:pPr>
    <w:rPr>
      <w:rFonts w:ascii="Arial" w:eastAsia="Calibri" w:hAnsi="Arial" w:cs="Times New Roman"/>
      <w:sz w:val="20"/>
    </w:rPr>
  </w:style>
  <w:style w:type="paragraph" w:styleId="BodyText">
    <w:name w:val="Body Text"/>
    <w:basedOn w:val="Normal"/>
    <w:link w:val="BodyTextChar"/>
    <w:rsid w:val="00B2372E"/>
    <w:pPr>
      <w:spacing w:after="0" w:line="240" w:lineRule="auto"/>
    </w:pPr>
    <w:rPr>
      <w:rFonts w:eastAsia="Times New Roman"/>
      <w:color w:val="000000"/>
      <w:szCs w:val="20"/>
      <w:lang w:val="en-AU"/>
    </w:rPr>
  </w:style>
  <w:style w:type="character" w:customStyle="1" w:styleId="BodyTextChar">
    <w:name w:val="Body Text Char"/>
    <w:basedOn w:val="DefaultParagraphFont"/>
    <w:link w:val="BodyText"/>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uiPriority w:val="99"/>
    <w:semiHidden/>
    <w:unhideWhenUsed/>
    <w:rsid w:val="003A2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1B9"/>
    <w:rPr>
      <w:rFonts w:ascii="Tahoma" w:eastAsia="Calibri" w:hAnsi="Tahoma" w:cs="Tahoma"/>
      <w:sz w:val="16"/>
      <w:szCs w:val="16"/>
    </w:rPr>
  </w:style>
  <w:style w:type="character" w:styleId="FollowedHyperlink">
    <w:name w:val="FollowedHyperlink"/>
    <w:basedOn w:val="DefaultParagraphFont"/>
    <w:uiPriority w:val="99"/>
    <w:semiHidden/>
    <w:unhideWhenUsed/>
    <w:rsid w:val="00261231"/>
    <w:rPr>
      <w:color w:val="800080" w:themeColor="followedHyperlink"/>
      <w:u w:val="single"/>
    </w:rPr>
  </w:style>
  <w:style w:type="character" w:styleId="CommentReference">
    <w:name w:val="annotation reference"/>
    <w:basedOn w:val="DefaultParagraphFont"/>
    <w:uiPriority w:val="99"/>
    <w:semiHidden/>
    <w:unhideWhenUsed/>
    <w:rsid w:val="000853E8"/>
    <w:rPr>
      <w:sz w:val="16"/>
      <w:szCs w:val="16"/>
    </w:rPr>
  </w:style>
  <w:style w:type="paragraph" w:styleId="CommentText">
    <w:name w:val="annotation text"/>
    <w:basedOn w:val="Normal"/>
    <w:link w:val="CommentTextChar"/>
    <w:uiPriority w:val="99"/>
    <w:semiHidden/>
    <w:unhideWhenUsed/>
    <w:rsid w:val="000853E8"/>
    <w:pPr>
      <w:spacing w:line="240" w:lineRule="auto"/>
    </w:pPr>
    <w:rPr>
      <w:szCs w:val="20"/>
    </w:rPr>
  </w:style>
  <w:style w:type="character" w:customStyle="1" w:styleId="CommentTextChar">
    <w:name w:val="Comment Text Char"/>
    <w:basedOn w:val="DefaultParagraphFont"/>
    <w:link w:val="CommentText"/>
    <w:uiPriority w:val="99"/>
    <w:semiHidden/>
    <w:rsid w:val="000853E8"/>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0853E8"/>
    <w:rPr>
      <w:b/>
      <w:bCs/>
    </w:rPr>
  </w:style>
  <w:style w:type="character" w:customStyle="1" w:styleId="CommentSubjectChar">
    <w:name w:val="Comment Subject Char"/>
    <w:basedOn w:val="CommentTextChar"/>
    <w:link w:val="CommentSubject"/>
    <w:uiPriority w:val="99"/>
    <w:semiHidden/>
    <w:rsid w:val="000853E8"/>
    <w:rPr>
      <w:rFonts w:ascii="Arial" w:eastAsia="Calibri" w:hAnsi="Arial" w:cs="Times New Roman"/>
      <w:b/>
      <w:bCs/>
      <w:sz w:val="20"/>
      <w:szCs w:val="20"/>
    </w:rPr>
  </w:style>
  <w:style w:type="paragraph" w:styleId="NormalWeb">
    <w:name w:val="Normal (Web)"/>
    <w:basedOn w:val="Normal"/>
    <w:uiPriority w:val="99"/>
    <w:semiHidden/>
    <w:unhideWhenUsed/>
    <w:rsid w:val="00A15AF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disabledresolveddrug">
    <w:name w:val="disabledresolveddrug"/>
    <w:basedOn w:val="DefaultParagraphFont"/>
    <w:rsid w:val="00A15AF4"/>
  </w:style>
  <w:style w:type="character" w:customStyle="1" w:styleId="genericdrug">
    <w:name w:val="genericdrug"/>
    <w:basedOn w:val="DefaultParagraphFont"/>
    <w:rsid w:val="00A15AF4"/>
  </w:style>
  <w:style w:type="character" w:customStyle="1" w:styleId="symbol">
    <w:name w:val="symbol"/>
    <w:basedOn w:val="DefaultParagraphFont"/>
    <w:rsid w:val="00A15AF4"/>
  </w:style>
  <w:style w:type="character" w:customStyle="1" w:styleId="nowrap1">
    <w:name w:val="nowrap1"/>
    <w:basedOn w:val="DefaultParagraphFont"/>
    <w:rsid w:val="00BF4269"/>
  </w:style>
  <w:style w:type="character" w:customStyle="1" w:styleId="apple-converted-space">
    <w:name w:val="apple-converted-space"/>
    <w:basedOn w:val="DefaultParagraphFont"/>
    <w:rsid w:val="00C64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541110">
      <w:bodyDiv w:val="1"/>
      <w:marLeft w:val="0"/>
      <w:marRight w:val="0"/>
      <w:marTop w:val="0"/>
      <w:marBottom w:val="0"/>
      <w:divBdr>
        <w:top w:val="none" w:sz="0" w:space="0" w:color="auto"/>
        <w:left w:val="none" w:sz="0" w:space="0" w:color="auto"/>
        <w:bottom w:val="none" w:sz="0" w:space="0" w:color="auto"/>
        <w:right w:val="none" w:sz="0" w:space="0" w:color="auto"/>
      </w:divBdr>
      <w:divsChild>
        <w:div w:id="1217469776">
          <w:marLeft w:val="0"/>
          <w:marRight w:val="0"/>
          <w:marTop w:val="0"/>
          <w:marBottom w:val="0"/>
          <w:divBdr>
            <w:top w:val="none" w:sz="0" w:space="0" w:color="auto"/>
            <w:left w:val="none" w:sz="0" w:space="0" w:color="auto"/>
            <w:bottom w:val="none" w:sz="0" w:space="0" w:color="auto"/>
            <w:right w:val="none" w:sz="0" w:space="0" w:color="auto"/>
          </w:divBdr>
          <w:divsChild>
            <w:div w:id="1585990766">
              <w:marLeft w:val="0"/>
              <w:marRight w:val="0"/>
              <w:marTop w:val="0"/>
              <w:marBottom w:val="0"/>
              <w:divBdr>
                <w:top w:val="none" w:sz="0" w:space="0" w:color="auto"/>
                <w:left w:val="none" w:sz="0" w:space="0" w:color="auto"/>
                <w:bottom w:val="none" w:sz="0" w:space="0" w:color="auto"/>
                <w:right w:val="none" w:sz="0" w:space="0" w:color="auto"/>
              </w:divBdr>
              <w:divsChild>
                <w:div w:id="1264996387">
                  <w:marLeft w:val="0"/>
                  <w:marRight w:val="0"/>
                  <w:marTop w:val="0"/>
                  <w:marBottom w:val="0"/>
                  <w:divBdr>
                    <w:top w:val="none" w:sz="0" w:space="0" w:color="auto"/>
                    <w:left w:val="none" w:sz="0" w:space="0" w:color="auto"/>
                    <w:bottom w:val="none" w:sz="0" w:space="0" w:color="auto"/>
                    <w:right w:val="none" w:sz="0" w:space="0" w:color="auto"/>
                  </w:divBdr>
                  <w:divsChild>
                    <w:div w:id="1284265692">
                      <w:marLeft w:val="0"/>
                      <w:marRight w:val="0"/>
                      <w:marTop w:val="0"/>
                      <w:marBottom w:val="0"/>
                      <w:divBdr>
                        <w:top w:val="none" w:sz="0" w:space="0" w:color="auto"/>
                        <w:left w:val="none" w:sz="0" w:space="0" w:color="auto"/>
                        <w:bottom w:val="none" w:sz="0" w:space="0" w:color="auto"/>
                        <w:right w:val="none" w:sz="0" w:space="0" w:color="auto"/>
                      </w:divBdr>
                      <w:divsChild>
                        <w:div w:id="452335353">
                          <w:marLeft w:val="0"/>
                          <w:marRight w:val="0"/>
                          <w:marTop w:val="0"/>
                          <w:marBottom w:val="0"/>
                          <w:divBdr>
                            <w:top w:val="none" w:sz="0" w:space="0" w:color="auto"/>
                            <w:left w:val="none" w:sz="0" w:space="0" w:color="auto"/>
                            <w:bottom w:val="none" w:sz="0" w:space="0" w:color="auto"/>
                            <w:right w:val="none" w:sz="0" w:space="0" w:color="auto"/>
                          </w:divBdr>
                          <w:divsChild>
                            <w:div w:id="869030772">
                              <w:marLeft w:val="0"/>
                              <w:marRight w:val="0"/>
                              <w:marTop w:val="0"/>
                              <w:marBottom w:val="0"/>
                              <w:divBdr>
                                <w:top w:val="none" w:sz="0" w:space="0" w:color="auto"/>
                                <w:left w:val="none" w:sz="0" w:space="0" w:color="auto"/>
                                <w:bottom w:val="none" w:sz="0" w:space="0" w:color="auto"/>
                                <w:right w:val="none" w:sz="0" w:space="0" w:color="auto"/>
                              </w:divBdr>
                              <w:divsChild>
                                <w:div w:id="1079447044">
                                  <w:marLeft w:val="0"/>
                                  <w:marRight w:val="0"/>
                                  <w:marTop w:val="0"/>
                                  <w:marBottom w:val="0"/>
                                  <w:divBdr>
                                    <w:top w:val="none" w:sz="0" w:space="0" w:color="auto"/>
                                    <w:left w:val="none" w:sz="0" w:space="0" w:color="auto"/>
                                    <w:bottom w:val="none" w:sz="0" w:space="0" w:color="auto"/>
                                    <w:right w:val="none" w:sz="0" w:space="0" w:color="auto"/>
                                  </w:divBdr>
                                </w:div>
                                <w:div w:id="12035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35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kmi.nhs.uk/ukmi/about/default.asp?pageRef=1" TargetMode="External"/><Relationship Id="rId13" Type="http://schemas.openxmlformats.org/officeDocument/2006/relationships/hyperlink" Target="https://www.new.medicinescomplete.com/" TargetMode="External"/><Relationship Id="rId18" Type="http://schemas.openxmlformats.org/officeDocument/2006/relationships/hyperlink" Target="https://emedicine.medscape.com/article/242008-treatmen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sdmanuals.com/en-gb/professional/endocrine-and-metabolic-disorders/electrolyte-disorders/hypokalemia" TargetMode="External"/><Relationship Id="rId17" Type="http://schemas.openxmlformats.org/officeDocument/2006/relationships/hyperlink" Target="http://www.micromedexsolutions.com" TargetMode="External"/><Relationship Id="rId2" Type="http://schemas.openxmlformats.org/officeDocument/2006/relationships/numbering" Target="numbering.xml"/><Relationship Id="rId16" Type="http://schemas.openxmlformats.org/officeDocument/2006/relationships/hyperlink" Target="http://medusa.wales.nhs.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medexsolutions.com" TargetMode="External"/><Relationship Id="rId5" Type="http://schemas.openxmlformats.org/officeDocument/2006/relationships/webSettings" Target="webSettings.xml"/><Relationship Id="rId15" Type="http://schemas.openxmlformats.org/officeDocument/2006/relationships/hyperlink" Target="https://medusa.wales.nhs.uk/docs/Journal%20of%20Infection%20Prevention-2016-Hallam-1757177415624752.pdf" TargetMode="External"/><Relationship Id="rId23" Type="http://schemas.openxmlformats.org/officeDocument/2006/relationships/theme" Target="theme/theme1.xml"/><Relationship Id="rId10" Type="http://schemas.openxmlformats.org/officeDocument/2006/relationships/hyperlink" Target="https://www.sps.nhs.uk/articles/npsa-alert-potassium-solutions-risks-to-patients-from-errors-occurring-during-iv-administration-2002/" TargetMode="External"/><Relationship Id="rId19" Type="http://schemas.openxmlformats.org/officeDocument/2006/relationships/hyperlink" Target="http://www.uptodate.com" TargetMode="External"/><Relationship Id="rId4" Type="http://schemas.openxmlformats.org/officeDocument/2006/relationships/settings" Target="settings.xml"/><Relationship Id="rId9" Type="http://schemas.openxmlformats.org/officeDocument/2006/relationships/hyperlink" Target="https://www.sps.nhs.uk/articles/about-ukmi-medicines-qas/" TargetMode="External"/><Relationship Id="rId14" Type="http://schemas.openxmlformats.org/officeDocument/2006/relationships/hyperlink" Target="https://medusa.wales.nhs.uk/docs/Journal%20of%20Infection%20Prevention-2016-Hallam-1757177415624752.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s.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45061-BD59-4C86-8BAF-C1FFB3640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1940</Words>
  <Characters>11059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12974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Mckie, Joshua</dc:creator>
  <cp:lastModifiedBy>Gail Woodland (Cardiff and Vale UHB - Pharmacy )</cp:lastModifiedBy>
  <cp:revision>2</cp:revision>
  <dcterms:created xsi:type="dcterms:W3CDTF">2020-09-20T10:04:00Z</dcterms:created>
  <dcterms:modified xsi:type="dcterms:W3CDTF">2020-09-20T10:04:00Z</dcterms:modified>
</cp:coreProperties>
</file>